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8D48" w14:textId="77777777" w:rsidR="00B141FC" w:rsidRPr="00B8234A" w:rsidRDefault="00B141FC" w:rsidP="00CF16A6"/>
    <w:p w14:paraId="4461DE0B" w14:textId="77777777" w:rsidR="00CF16A6" w:rsidRDefault="00CF16A6" w:rsidP="00CF16A6"/>
    <w:p w14:paraId="7990327F" w14:textId="77777777" w:rsidR="00CF16A6" w:rsidRDefault="00CF16A6" w:rsidP="00CF16A6"/>
    <w:p w14:paraId="3D691CBB" w14:textId="77777777" w:rsidR="0050163D" w:rsidRDefault="000310E3" w:rsidP="00184FD5">
      <w:pPr>
        <w:pStyle w:val="Title"/>
      </w:pPr>
      <w:r>
        <w:t>Н</w:t>
      </w:r>
      <w:r w:rsidRPr="000310E3">
        <w:t xml:space="preserve">овые опции по лечению ВИЧ-инфекции </w:t>
      </w:r>
      <w:r w:rsidR="00C614D4">
        <w:br/>
      </w:r>
      <w:r w:rsidRPr="000310E3">
        <w:t xml:space="preserve">у </w:t>
      </w:r>
      <w:r w:rsidR="00A84E5F">
        <w:t>детей разных возрастных групп</w:t>
      </w:r>
    </w:p>
    <w:p w14:paraId="6917277E" w14:textId="6AC7B9F5" w:rsidR="00A0340D" w:rsidRDefault="00A0340D" w:rsidP="00184FD5">
      <w:pPr>
        <w:pStyle w:val="Title"/>
      </w:pPr>
      <w:r>
        <w:br w:type="page"/>
      </w:r>
    </w:p>
    <w:p w14:paraId="3DD38770" w14:textId="77777777" w:rsidR="007F2AFD" w:rsidRDefault="007F2AFD" w:rsidP="00DB0C06">
      <w:pPr>
        <w:pStyle w:val="Heading1"/>
        <w:rPr>
          <w:rFonts w:eastAsiaTheme="minorEastAsia"/>
        </w:rPr>
      </w:pPr>
      <w:bookmarkStart w:id="0" w:name="_Toc68213878"/>
      <w:r w:rsidRPr="007F2AFD">
        <w:rPr>
          <w:rFonts w:eastAsiaTheme="minorEastAsia"/>
        </w:rPr>
        <w:lastRenderedPageBreak/>
        <w:t>Содержание</w:t>
      </w:r>
      <w:bookmarkEnd w:id="0"/>
      <w:r w:rsidR="00B60511">
        <w:rPr>
          <w:rFonts w:eastAsiaTheme="minorEastAsia"/>
        </w:rPr>
        <w:t xml:space="preserve"> </w:t>
      </w:r>
    </w:p>
    <w:sdt>
      <w:sdtPr>
        <w:rPr>
          <w:shd w:val="clear" w:color="auto" w:fill="D6E3BC" w:themeFill="accent3" w:themeFillTint="66"/>
        </w:rPr>
        <w:id w:val="-166555670"/>
        <w:docPartObj>
          <w:docPartGallery w:val="Table of Contents"/>
          <w:docPartUnique/>
        </w:docPartObj>
      </w:sdtPr>
      <w:sdtEndPr>
        <w:rPr>
          <w:b/>
          <w:bCs/>
          <w:shd w:val="clear" w:color="auto" w:fill="auto"/>
        </w:rPr>
      </w:sdtEndPr>
      <w:sdtContent>
        <w:p w14:paraId="69FB783E" w14:textId="77777777" w:rsidR="005B41B4" w:rsidRDefault="00185EA9">
          <w:pPr>
            <w:pStyle w:val="TOC1"/>
            <w:tabs>
              <w:tab w:val="left" w:pos="482"/>
            </w:tabs>
            <w:rPr>
              <w:rFonts w:asciiTheme="minorHAnsi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13878" w:history="1">
            <w:r w:rsidR="005B41B4" w:rsidRPr="00CA7DD8">
              <w:rPr>
                <w:rStyle w:val="Hyperlink"/>
                <w:noProof/>
              </w:rPr>
              <w:t>1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Содержание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_Toc68213878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2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6F40C50D" w14:textId="77777777" w:rsidR="005B41B4" w:rsidRDefault="00264903">
          <w:pPr>
            <w:pStyle w:val="TOC1"/>
            <w:tabs>
              <w:tab w:val="left" w:pos="48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79" w:history="1">
            <w:r w:rsidR="005B41B4" w:rsidRPr="00CA7DD8">
              <w:rPr>
                <w:rStyle w:val="Hyperlink"/>
                <w:noProof/>
              </w:rPr>
              <w:t>2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Список сокращений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_Toc68213879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2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22D47E75" w14:textId="77777777" w:rsidR="005B41B4" w:rsidRDefault="00264903">
          <w:pPr>
            <w:pStyle w:val="TOC1"/>
            <w:tabs>
              <w:tab w:val="left" w:pos="48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0" w:history="1">
            <w:r w:rsidR="005B41B4" w:rsidRPr="00CA7DD8">
              <w:rPr>
                <w:rStyle w:val="Hyperlink"/>
                <w:noProof/>
              </w:rPr>
              <w:t>3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Эпидемиология ВИЧ в детской популяции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_Toc68213880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2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4D04165C" w14:textId="77777777" w:rsidR="005B41B4" w:rsidRDefault="00264903"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1" w:history="1">
            <w:r w:rsidR="005B41B4" w:rsidRPr="00CA7DD8">
              <w:rPr>
                <w:rStyle w:val="Hyperlink"/>
                <w:noProof/>
              </w:rPr>
              <w:t>3.1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Проблемы и принципы АРТ у детей и подростков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_Toc68213881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3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30DAA8AE" w14:textId="77777777" w:rsidR="005B41B4" w:rsidRDefault="00264903"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2" w:history="1">
            <w:r w:rsidR="005B41B4" w:rsidRPr="00CA7DD8">
              <w:rPr>
                <w:rStyle w:val="Hyperlink"/>
                <w:noProof/>
              </w:rPr>
              <w:t>3.2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Препарат Интеленс</w:t>
            </w:r>
            <w:r w:rsidR="005B41B4" w:rsidRPr="00CA7DD8">
              <w:rPr>
                <w:rStyle w:val="Hyperlink"/>
                <w:rFonts w:cs="Times New Roman"/>
                <w:noProof/>
                <w:vertAlign w:val="superscript"/>
              </w:rPr>
              <w:t>®</w:t>
            </w:r>
            <w:r w:rsidR="005B41B4" w:rsidRPr="00CA7DD8">
              <w:rPr>
                <w:rStyle w:val="Hyperlink"/>
                <w:noProof/>
              </w:rPr>
              <w:t xml:space="preserve"> в педиатрической популяции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_Toc68213882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4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4F85EC35" w14:textId="77777777" w:rsidR="005B41B4" w:rsidRDefault="00264903"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3" w:history="1">
            <w:r w:rsidR="005B41B4" w:rsidRPr="00CA7DD8">
              <w:rPr>
                <w:rStyle w:val="Hyperlink"/>
                <w:noProof/>
              </w:rPr>
              <w:t>3.3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Профиль безопасности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_Toc68213883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5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5FC394A7" w14:textId="77777777" w:rsidR="005B41B4" w:rsidRDefault="00264903"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4" w:history="1">
            <w:r w:rsidR="005B41B4" w:rsidRPr="00CA7DD8">
              <w:rPr>
                <w:rStyle w:val="Hyperlink"/>
                <w:noProof/>
              </w:rPr>
              <w:t>3.4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noProof/>
              </w:rPr>
              <w:t>Резюме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_Toc68213884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7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6D2ABDFB" w14:textId="77777777" w:rsidR="005B41B4" w:rsidRDefault="00264903">
          <w:pPr>
            <w:pStyle w:val="TOC1"/>
            <w:tabs>
              <w:tab w:val="left" w:pos="482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8213885" w:history="1">
            <w:r w:rsidR="005B41B4" w:rsidRPr="00CA7DD8">
              <w:rPr>
                <w:rStyle w:val="Hyperlink"/>
                <w:rFonts w:eastAsiaTheme="majorEastAsia" w:cstheme="majorBidi"/>
                <w:noProof/>
              </w:rPr>
              <w:t>4</w:t>
            </w:r>
            <w:r w:rsidR="005B41B4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5B41B4" w:rsidRPr="00CA7DD8">
              <w:rPr>
                <w:rStyle w:val="Hyperlink"/>
                <w:rFonts w:eastAsiaTheme="majorEastAsia" w:cstheme="majorBidi"/>
                <w:noProof/>
              </w:rPr>
              <w:t>Список литературы</w:t>
            </w:r>
            <w:r w:rsidR="005B41B4">
              <w:rPr>
                <w:noProof/>
                <w:webHidden/>
              </w:rPr>
              <w:tab/>
            </w:r>
            <w:r w:rsidR="005B41B4">
              <w:rPr>
                <w:noProof/>
                <w:webHidden/>
              </w:rPr>
              <w:fldChar w:fldCharType="begin"/>
            </w:r>
            <w:r w:rsidR="005B41B4">
              <w:rPr>
                <w:noProof/>
                <w:webHidden/>
              </w:rPr>
              <w:instrText xml:space="preserve"> PAGEREF _Toc68213885 \h </w:instrText>
            </w:r>
            <w:r w:rsidR="005B41B4">
              <w:rPr>
                <w:noProof/>
                <w:webHidden/>
              </w:rPr>
            </w:r>
            <w:r w:rsidR="005B41B4">
              <w:rPr>
                <w:noProof/>
                <w:webHidden/>
              </w:rPr>
              <w:fldChar w:fldCharType="separate"/>
            </w:r>
            <w:r w:rsidR="006D34C8">
              <w:rPr>
                <w:noProof/>
                <w:webHidden/>
              </w:rPr>
              <w:t>7</w:t>
            </w:r>
            <w:r w:rsidR="005B41B4">
              <w:rPr>
                <w:noProof/>
                <w:webHidden/>
              </w:rPr>
              <w:fldChar w:fldCharType="end"/>
            </w:r>
          </w:hyperlink>
        </w:p>
        <w:p w14:paraId="266C6EB3" w14:textId="7A19F14D" w:rsidR="00185EA9" w:rsidRDefault="00185EA9">
          <w:r>
            <w:rPr>
              <w:b/>
              <w:bCs/>
            </w:rPr>
            <w:fldChar w:fldCharType="end"/>
          </w:r>
        </w:p>
      </w:sdtContent>
    </w:sdt>
    <w:p w14:paraId="28DF9D06" w14:textId="0F348315" w:rsidR="00185EA9" w:rsidRDefault="00126FA8" w:rsidP="00DB0C06">
      <w:pPr>
        <w:pStyle w:val="Heading1"/>
        <w:rPr>
          <w:rFonts w:eastAsiaTheme="minorEastAsia"/>
        </w:rPr>
      </w:pPr>
      <w:bookmarkStart w:id="1" w:name="_Toc68213879"/>
      <w:r>
        <w:rPr>
          <w:rFonts w:eastAsiaTheme="minorEastAsia"/>
        </w:rPr>
        <w:t>Список сокращений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7676"/>
      </w:tblGrid>
      <w:tr w:rsidR="00FB1D03" w14:paraId="2A36C382" w14:textId="77777777" w:rsidTr="002D3A07">
        <w:tc>
          <w:tcPr>
            <w:tcW w:w="1385" w:type="dxa"/>
          </w:tcPr>
          <w:p w14:paraId="35F63F8D" w14:textId="7AD00374" w:rsidR="00FB1D03" w:rsidRDefault="00FB1D03" w:rsidP="00126FA8">
            <w:pPr>
              <w:pStyle w:val="a"/>
              <w:rPr>
                <w:rFonts w:eastAsiaTheme="minorEastAsia"/>
              </w:rPr>
            </w:pPr>
            <w:r>
              <w:rPr>
                <w:rFonts w:eastAsiaTheme="minorEastAsia"/>
              </w:rPr>
              <w:t>АРП</w:t>
            </w:r>
          </w:p>
        </w:tc>
        <w:tc>
          <w:tcPr>
            <w:tcW w:w="7676" w:type="dxa"/>
          </w:tcPr>
          <w:p w14:paraId="42F0C808" w14:textId="20931D5C" w:rsidR="00FB1D03" w:rsidRDefault="00FB1D03" w:rsidP="00FB1D03">
            <w:pPr>
              <w:pStyle w:val="a"/>
              <w:rPr>
                <w:rFonts w:eastAsiaTheme="minorEastAsia"/>
              </w:rPr>
            </w:pPr>
            <w:r w:rsidRPr="00FB1D03">
              <w:rPr>
                <w:rFonts w:eastAsiaTheme="minorEastAsia"/>
              </w:rPr>
              <w:t>Антиретровирусны</w:t>
            </w:r>
            <w:r>
              <w:rPr>
                <w:rFonts w:eastAsiaTheme="minorEastAsia"/>
              </w:rPr>
              <w:t>й препарат</w:t>
            </w:r>
          </w:p>
        </w:tc>
      </w:tr>
      <w:tr w:rsidR="007671D4" w14:paraId="7B867BAF" w14:textId="77777777" w:rsidTr="002D3A07">
        <w:tc>
          <w:tcPr>
            <w:tcW w:w="1385" w:type="dxa"/>
          </w:tcPr>
          <w:p w14:paraId="759A4EA4" w14:textId="77777777" w:rsidR="007671D4" w:rsidRPr="00B56AED" w:rsidRDefault="007671D4" w:rsidP="00126FA8">
            <w:pPr>
              <w:pStyle w:val="a"/>
              <w:rPr>
                <w:rFonts w:eastAsiaTheme="minorEastAsia"/>
              </w:rPr>
            </w:pPr>
            <w:r>
              <w:rPr>
                <w:rFonts w:eastAsiaTheme="minorEastAsia"/>
              </w:rPr>
              <w:t>АРТ</w:t>
            </w:r>
          </w:p>
        </w:tc>
        <w:tc>
          <w:tcPr>
            <w:tcW w:w="7676" w:type="dxa"/>
          </w:tcPr>
          <w:p w14:paraId="3BC7D015" w14:textId="77777777" w:rsidR="007671D4" w:rsidRDefault="007671D4" w:rsidP="00126FA8">
            <w:pPr>
              <w:pStyle w:val="a"/>
              <w:rPr>
                <w:rFonts w:eastAsiaTheme="minorEastAsia"/>
              </w:rPr>
            </w:pPr>
            <w:r>
              <w:rPr>
                <w:rFonts w:eastAsiaTheme="minorEastAsia"/>
              </w:rPr>
              <w:t>Антиретровирусная терапия</w:t>
            </w:r>
          </w:p>
        </w:tc>
      </w:tr>
      <w:tr w:rsidR="007671D4" w14:paraId="591ED33B" w14:textId="77777777" w:rsidTr="002D3A07">
        <w:tc>
          <w:tcPr>
            <w:tcW w:w="1385" w:type="dxa"/>
          </w:tcPr>
          <w:p w14:paraId="7143E268" w14:textId="77777777" w:rsidR="007671D4" w:rsidRPr="00607F88" w:rsidRDefault="007671D4" w:rsidP="00126FA8">
            <w:pPr>
              <w:pStyle w:val="a"/>
              <w:rPr>
                <w:rFonts w:eastAsiaTheme="minorEastAsia"/>
              </w:rPr>
            </w:pPr>
            <w:r>
              <w:rPr>
                <w:rFonts w:eastAsiaTheme="minorEastAsia"/>
              </w:rPr>
              <w:t>ВИЧ</w:t>
            </w:r>
          </w:p>
        </w:tc>
        <w:tc>
          <w:tcPr>
            <w:tcW w:w="7676" w:type="dxa"/>
          </w:tcPr>
          <w:p w14:paraId="5451971B" w14:textId="77777777" w:rsidR="007671D4" w:rsidRPr="00607F88" w:rsidRDefault="007671D4" w:rsidP="00126FA8">
            <w:pPr>
              <w:pStyle w:val="a"/>
              <w:rPr>
                <w:rFonts w:eastAsiaTheme="minorEastAsia"/>
              </w:rPr>
            </w:pPr>
            <w:r>
              <w:rPr>
                <w:rFonts w:eastAsiaTheme="minorEastAsia"/>
              </w:rPr>
              <w:t>Вирус иммунодефицита человека</w:t>
            </w:r>
          </w:p>
        </w:tc>
      </w:tr>
      <w:tr w:rsidR="004572AF" w14:paraId="077393D4" w14:textId="77777777" w:rsidTr="002D3A07">
        <w:tc>
          <w:tcPr>
            <w:tcW w:w="1385" w:type="dxa"/>
          </w:tcPr>
          <w:p w14:paraId="53CE3095" w14:textId="5D29FF5D" w:rsidR="004572AF" w:rsidRDefault="004572AF" w:rsidP="004572AF">
            <w:pPr>
              <w:pStyle w:val="a"/>
              <w:rPr>
                <w:rFonts w:eastAsiaTheme="minorEastAsia"/>
              </w:rPr>
            </w:pPr>
            <w:r>
              <w:t>ВОЗ</w:t>
            </w:r>
          </w:p>
        </w:tc>
        <w:tc>
          <w:tcPr>
            <w:tcW w:w="7676" w:type="dxa"/>
          </w:tcPr>
          <w:p w14:paraId="282AA7C9" w14:textId="2F36892C" w:rsidR="004572AF" w:rsidRDefault="004572AF" w:rsidP="004572AF">
            <w:pPr>
              <w:pStyle w:val="a"/>
              <w:rPr>
                <w:rFonts w:eastAsiaTheme="minorEastAsia"/>
              </w:rPr>
            </w:pPr>
            <w:r>
              <w:t>Всемирная Организация Здравоохранения</w:t>
            </w:r>
          </w:p>
        </w:tc>
      </w:tr>
      <w:tr w:rsidR="00FD6295" w14:paraId="561D8444" w14:textId="77777777" w:rsidTr="002D3A07">
        <w:tc>
          <w:tcPr>
            <w:tcW w:w="1385" w:type="dxa"/>
          </w:tcPr>
          <w:p w14:paraId="3134D2FE" w14:textId="68688454" w:rsidR="00FD6295" w:rsidRDefault="00FD6295" w:rsidP="004572AF">
            <w:pPr>
              <w:pStyle w:val="a"/>
            </w:pPr>
            <w:r w:rsidRPr="00FD6295">
              <w:t>ННИОТ</w:t>
            </w:r>
          </w:p>
        </w:tc>
        <w:tc>
          <w:tcPr>
            <w:tcW w:w="7676" w:type="dxa"/>
          </w:tcPr>
          <w:p w14:paraId="528F14CB" w14:textId="07F7486A" w:rsidR="00FD6295" w:rsidRDefault="00FD6295" w:rsidP="00FD6295">
            <w:pPr>
              <w:pStyle w:val="a"/>
            </w:pPr>
            <w:r>
              <w:t>Н</w:t>
            </w:r>
            <w:r w:rsidRPr="00FD6295">
              <w:t>енуклеозидный ин</w:t>
            </w:r>
            <w:r>
              <w:t>гибитор обратной транскриптазы</w:t>
            </w:r>
          </w:p>
        </w:tc>
      </w:tr>
      <w:tr w:rsidR="00711B9C" w14:paraId="7DDF5C88" w14:textId="77777777" w:rsidTr="002D3A07">
        <w:tc>
          <w:tcPr>
            <w:tcW w:w="1385" w:type="dxa"/>
          </w:tcPr>
          <w:p w14:paraId="1CD2BE62" w14:textId="6568C4A7" w:rsidR="00711B9C" w:rsidRPr="00FD6295" w:rsidRDefault="00711B9C" w:rsidP="004572AF">
            <w:pPr>
              <w:pStyle w:val="a"/>
            </w:pPr>
            <w:r>
              <w:t>НЯ</w:t>
            </w:r>
          </w:p>
        </w:tc>
        <w:tc>
          <w:tcPr>
            <w:tcW w:w="7676" w:type="dxa"/>
          </w:tcPr>
          <w:p w14:paraId="5BDE6541" w14:textId="12A08956" w:rsidR="00711B9C" w:rsidRDefault="00711B9C" w:rsidP="00711B9C">
            <w:pPr>
              <w:pStyle w:val="a"/>
            </w:pPr>
            <w:r>
              <w:t>Нежелательное явление</w:t>
            </w:r>
          </w:p>
        </w:tc>
      </w:tr>
      <w:tr w:rsidR="00834671" w14:paraId="4B2AA67E" w14:textId="77777777" w:rsidTr="002D3A07">
        <w:tc>
          <w:tcPr>
            <w:tcW w:w="1385" w:type="dxa"/>
          </w:tcPr>
          <w:p w14:paraId="60F7C8B9" w14:textId="3E4208B7" w:rsidR="00834671" w:rsidRDefault="00834671" w:rsidP="004572AF">
            <w:pPr>
              <w:pStyle w:val="a"/>
            </w:pPr>
            <w:r>
              <w:t>РФ</w:t>
            </w:r>
          </w:p>
        </w:tc>
        <w:tc>
          <w:tcPr>
            <w:tcW w:w="7676" w:type="dxa"/>
          </w:tcPr>
          <w:p w14:paraId="1CDC5161" w14:textId="451C0EF3" w:rsidR="00834671" w:rsidRDefault="00834671" w:rsidP="004572AF">
            <w:pPr>
              <w:pStyle w:val="a"/>
            </w:pPr>
            <w:r>
              <w:t>Российская Федерация</w:t>
            </w:r>
          </w:p>
        </w:tc>
      </w:tr>
      <w:tr w:rsidR="008F7B8C" w14:paraId="5F685367" w14:textId="77777777" w:rsidTr="002D3A07">
        <w:tc>
          <w:tcPr>
            <w:tcW w:w="1385" w:type="dxa"/>
          </w:tcPr>
          <w:p w14:paraId="3F4BBA8D" w14:textId="78B0CD0F" w:rsidR="008F7B8C" w:rsidRDefault="008F7B8C" w:rsidP="004572AF">
            <w:pPr>
              <w:pStyle w:val="a"/>
            </w:pPr>
            <w:r>
              <w:t>СНЯ</w:t>
            </w:r>
          </w:p>
        </w:tc>
        <w:tc>
          <w:tcPr>
            <w:tcW w:w="7676" w:type="dxa"/>
          </w:tcPr>
          <w:p w14:paraId="574078D4" w14:textId="7061AE58" w:rsidR="008F7B8C" w:rsidRDefault="008F7B8C" w:rsidP="004572AF">
            <w:pPr>
              <w:pStyle w:val="a"/>
            </w:pPr>
            <w:r w:rsidRPr="008F7B8C">
              <w:t>Серье</w:t>
            </w:r>
            <w:r>
              <w:t>зное нежелательное явление</w:t>
            </w:r>
          </w:p>
        </w:tc>
      </w:tr>
      <w:tr w:rsidR="004572AF" w14:paraId="3F75987C" w14:textId="77777777" w:rsidTr="002D3A07">
        <w:tc>
          <w:tcPr>
            <w:tcW w:w="1385" w:type="dxa"/>
          </w:tcPr>
          <w:p w14:paraId="378DB7FB" w14:textId="3B9A7187" w:rsidR="004572AF" w:rsidRDefault="00CC61E7" w:rsidP="004572AF">
            <w:pPr>
              <w:pStyle w:val="a"/>
            </w:pPr>
            <w:r>
              <w:t>СПИД</w:t>
            </w:r>
          </w:p>
        </w:tc>
        <w:tc>
          <w:tcPr>
            <w:tcW w:w="7676" w:type="dxa"/>
          </w:tcPr>
          <w:p w14:paraId="52D7E4E9" w14:textId="4E61FB58" w:rsidR="004572AF" w:rsidRDefault="00CC61E7" w:rsidP="00CC61E7">
            <w:pPr>
              <w:pStyle w:val="a"/>
            </w:pPr>
            <w:r>
              <w:t>Синдром приобретенного иммунодефицита человека</w:t>
            </w:r>
          </w:p>
        </w:tc>
      </w:tr>
      <w:tr w:rsidR="006100D5" w14:paraId="2E500E6F" w14:textId="77777777" w:rsidTr="002D3A07">
        <w:tc>
          <w:tcPr>
            <w:tcW w:w="1385" w:type="dxa"/>
          </w:tcPr>
          <w:p w14:paraId="689C8E1E" w14:textId="103E07C7" w:rsidR="006100D5" w:rsidRDefault="006100D5" w:rsidP="004572AF">
            <w:pPr>
              <w:pStyle w:val="a"/>
            </w:pPr>
            <w:r>
              <w:t>ФК</w:t>
            </w:r>
          </w:p>
        </w:tc>
        <w:tc>
          <w:tcPr>
            <w:tcW w:w="7676" w:type="dxa"/>
          </w:tcPr>
          <w:p w14:paraId="5904F5A1" w14:textId="5F490B29" w:rsidR="006100D5" w:rsidRDefault="006100D5" w:rsidP="00CC61E7">
            <w:pPr>
              <w:pStyle w:val="a"/>
            </w:pPr>
            <w:r>
              <w:t>Фармакокинетика</w:t>
            </w:r>
          </w:p>
        </w:tc>
      </w:tr>
      <w:tr w:rsidR="008F7B8C" w14:paraId="3E22F019" w14:textId="77777777" w:rsidTr="002D3A07">
        <w:tc>
          <w:tcPr>
            <w:tcW w:w="1385" w:type="dxa"/>
          </w:tcPr>
          <w:p w14:paraId="205CC5F7" w14:textId="5D61D3DC" w:rsidR="008F7B8C" w:rsidRDefault="008F7B8C" w:rsidP="004572AF">
            <w:pPr>
              <w:pStyle w:val="a"/>
            </w:pPr>
            <w:r>
              <w:t>ЦНС</w:t>
            </w:r>
          </w:p>
        </w:tc>
        <w:tc>
          <w:tcPr>
            <w:tcW w:w="7676" w:type="dxa"/>
          </w:tcPr>
          <w:p w14:paraId="22234536" w14:textId="412DEE35" w:rsidR="008F7B8C" w:rsidRDefault="008F7B8C" w:rsidP="00CC61E7">
            <w:pPr>
              <w:pStyle w:val="a"/>
            </w:pPr>
            <w:r>
              <w:t>Центральная нервная система</w:t>
            </w:r>
          </w:p>
        </w:tc>
      </w:tr>
    </w:tbl>
    <w:p w14:paraId="6A8CCDC7" w14:textId="693A20AB" w:rsidR="00015C94" w:rsidRPr="00015C94" w:rsidRDefault="00A84E5F" w:rsidP="00A84E5F">
      <w:pPr>
        <w:pStyle w:val="Heading1"/>
      </w:pPr>
      <w:bookmarkStart w:id="2" w:name="_Toc68213880"/>
      <w:bookmarkStart w:id="3" w:name="_Hlk30521748"/>
      <w:r w:rsidRPr="00A84E5F">
        <w:rPr>
          <w:rFonts w:eastAsiaTheme="minorEastAsia"/>
        </w:rPr>
        <w:t>Эпидемиология ВИЧ в детской популяции</w:t>
      </w:r>
      <w:bookmarkEnd w:id="2"/>
    </w:p>
    <w:bookmarkEnd w:id="3"/>
    <w:p w14:paraId="564CDC74" w14:textId="7D288749" w:rsidR="00071146" w:rsidRDefault="00490DB2" w:rsidP="00484714">
      <w:pPr>
        <w:pStyle w:val="a"/>
        <w:rPr>
          <w:rFonts w:eastAsiaTheme="minorEastAsia"/>
        </w:rPr>
      </w:pPr>
      <w:r w:rsidRPr="00490DB2">
        <w:rPr>
          <w:rFonts w:eastAsiaTheme="minorEastAsia"/>
        </w:rPr>
        <w:t>По данным Всемирной Организации Здравоохранения (ВОЗ), ВИЧ-инфекция остается одной из основных проблем глобального общественного здравоохранения</w:t>
      </w:r>
      <w:r>
        <w:rPr>
          <w:rFonts w:eastAsiaTheme="minorEastAsia"/>
        </w:rPr>
        <w:t xml:space="preserve">. </w:t>
      </w:r>
      <w:r w:rsidRPr="00490DB2">
        <w:rPr>
          <w:rFonts w:eastAsiaTheme="minorEastAsia"/>
        </w:rPr>
        <w:t>Распространение ВИЧ-инфекции во всех возрастных группах педиатрической популяции Российской Федерации</w:t>
      </w:r>
      <w:r w:rsidR="00834671">
        <w:rPr>
          <w:rFonts w:eastAsiaTheme="minorEastAsia"/>
        </w:rPr>
        <w:t xml:space="preserve"> (РФ)</w:t>
      </w:r>
      <w:r w:rsidRPr="00490DB2">
        <w:rPr>
          <w:rFonts w:eastAsiaTheme="minorEastAsia"/>
        </w:rPr>
        <w:t xml:space="preserve"> является серьезной соц</w:t>
      </w:r>
      <w:r w:rsidR="00717B0C">
        <w:rPr>
          <w:rFonts w:eastAsiaTheme="minorEastAsia"/>
        </w:rPr>
        <w:t>иальной и медицинской проблемой</w:t>
      </w:r>
      <w:r w:rsidRPr="00490DB2">
        <w:rPr>
          <w:rFonts w:eastAsiaTheme="minorEastAsia"/>
        </w:rPr>
        <w:t>.</w:t>
      </w:r>
      <w:r w:rsidR="00717B0C">
        <w:rPr>
          <w:rFonts w:eastAsiaTheme="minorEastAsia"/>
        </w:rPr>
        <w:t xml:space="preserve"> </w:t>
      </w:r>
    </w:p>
    <w:p w14:paraId="4D64EDDA" w14:textId="51488279" w:rsidR="00CC61E7" w:rsidRDefault="00CC61E7" w:rsidP="00490DB2">
      <w:pPr>
        <w:pStyle w:val="a"/>
        <w:rPr>
          <w:rFonts w:eastAsiaTheme="minorEastAsia"/>
        </w:rPr>
      </w:pPr>
      <w:r>
        <w:rPr>
          <w:rFonts w:eastAsiaTheme="minorEastAsia"/>
        </w:rPr>
        <w:t xml:space="preserve">Согласно данным Федерального научно-методического центра по профилактике и борьбе со СПИДом, </w:t>
      </w:r>
      <w:r w:rsidR="00834671">
        <w:rPr>
          <w:rFonts w:eastAsiaTheme="minorEastAsia"/>
        </w:rPr>
        <w:t xml:space="preserve">к началу 2020 года </w:t>
      </w:r>
      <w:r w:rsidR="0056623D">
        <w:rPr>
          <w:rFonts w:eastAsiaTheme="minorEastAsia"/>
        </w:rPr>
        <w:t>к</w:t>
      </w:r>
      <w:r w:rsidR="0056623D" w:rsidRPr="0056623D">
        <w:rPr>
          <w:rFonts w:eastAsiaTheme="minorEastAsia"/>
        </w:rPr>
        <w:t>умулятивное количество детей с диагнозом ВИЧ</w:t>
      </w:r>
      <w:r w:rsidR="0056623D">
        <w:rPr>
          <w:rFonts w:eastAsiaTheme="minorEastAsia"/>
        </w:rPr>
        <w:t>-</w:t>
      </w:r>
      <w:r w:rsidR="0056623D" w:rsidRPr="0056623D">
        <w:rPr>
          <w:rFonts w:eastAsiaTheme="minorEastAsia"/>
        </w:rPr>
        <w:t>инфекция, установленным в возрасте до 15 лет</w:t>
      </w:r>
      <w:r w:rsidR="0056623D">
        <w:rPr>
          <w:rFonts w:eastAsiaTheme="minorEastAsia"/>
        </w:rPr>
        <w:t xml:space="preserve">, на территории РФ </w:t>
      </w:r>
      <w:r w:rsidR="006A1934">
        <w:rPr>
          <w:rFonts w:eastAsiaTheme="minorEastAsia"/>
        </w:rPr>
        <w:t>составила</w:t>
      </w:r>
      <w:r w:rsidR="0056623D">
        <w:rPr>
          <w:rFonts w:eastAsiaTheme="minorEastAsia"/>
        </w:rPr>
        <w:t xml:space="preserve"> </w:t>
      </w:r>
      <w:r w:rsidRPr="00CC61E7">
        <w:rPr>
          <w:rFonts w:eastAsiaTheme="minorEastAsia"/>
        </w:rPr>
        <w:t>12 598</w:t>
      </w:r>
      <w:r w:rsidR="0056623D">
        <w:rPr>
          <w:rFonts w:eastAsiaTheme="minorEastAsia"/>
        </w:rPr>
        <w:t xml:space="preserve"> </w:t>
      </w:r>
      <w:r w:rsidR="00717B0C">
        <w:rPr>
          <w:rFonts w:eastAsiaTheme="minorEastAsia"/>
        </w:rPr>
        <w:t>человек</w:t>
      </w:r>
      <w:r w:rsidR="006A1934">
        <w:rPr>
          <w:rFonts w:eastAsiaTheme="minorEastAsia"/>
        </w:rPr>
        <w:t xml:space="preserve">. В более старшей возрастной группе (до 18 лет) этот показатель достиг </w:t>
      </w:r>
      <w:r w:rsidR="006A1934" w:rsidRPr="006A1934">
        <w:rPr>
          <w:rFonts w:eastAsiaTheme="minorEastAsia"/>
        </w:rPr>
        <w:t>32 096</w:t>
      </w:r>
      <w:r w:rsidR="006A1934">
        <w:rPr>
          <w:rFonts w:eastAsiaTheme="minorEastAsia"/>
        </w:rPr>
        <w:t xml:space="preserve"> </w:t>
      </w:r>
      <w:r w:rsidR="00717B0C">
        <w:rPr>
          <w:rFonts w:eastAsiaTheme="minorEastAsia"/>
        </w:rPr>
        <w:t>детей и подростков. Ч</w:t>
      </w:r>
      <w:r w:rsidR="00717B0C" w:rsidRPr="00717B0C">
        <w:rPr>
          <w:rFonts w:eastAsiaTheme="minorEastAsia"/>
        </w:rPr>
        <w:t>исло ВИЧ-инфицированных детей в</w:t>
      </w:r>
      <w:r w:rsidR="00717B0C">
        <w:rPr>
          <w:rFonts w:eastAsiaTheme="minorEastAsia"/>
        </w:rPr>
        <w:t xml:space="preserve"> возрасте до года достигло 4151, а в </w:t>
      </w:r>
      <w:r w:rsidR="00717B0C" w:rsidRPr="00717B0C">
        <w:rPr>
          <w:rFonts w:eastAsiaTheme="minorEastAsia"/>
        </w:rPr>
        <w:t>возрасте 1-4 года было диагностировано 4 536 случаев ВИЧ-инфекции.</w:t>
      </w:r>
      <w:r w:rsidR="00717B0C">
        <w:rPr>
          <w:rFonts w:eastAsiaTheme="minorEastAsia"/>
        </w:rPr>
        <w:t xml:space="preserve"> </w:t>
      </w:r>
      <w:r w:rsidR="00717B0C" w:rsidRPr="00717B0C">
        <w:rPr>
          <w:rFonts w:eastAsiaTheme="minorEastAsia"/>
        </w:rPr>
        <w:t xml:space="preserve">В возрастной категории 5-9 лет диагноз ВИЧ </w:t>
      </w:r>
      <w:r w:rsidR="00717B0C">
        <w:rPr>
          <w:rFonts w:eastAsiaTheme="minorEastAsia"/>
        </w:rPr>
        <w:t xml:space="preserve">был </w:t>
      </w:r>
      <w:r w:rsidR="00717B0C" w:rsidRPr="00717B0C">
        <w:rPr>
          <w:rFonts w:eastAsiaTheme="minorEastAsia"/>
        </w:rPr>
        <w:t>подтвержден у 885 детей.</w:t>
      </w:r>
      <w:r w:rsidR="00717B0C">
        <w:rPr>
          <w:rFonts w:eastAsiaTheme="minorEastAsia"/>
        </w:rPr>
        <w:t xml:space="preserve"> Доля ВИЧ-</w:t>
      </w:r>
      <w:r w:rsidR="00717B0C">
        <w:rPr>
          <w:rFonts w:eastAsiaTheme="minorEastAsia"/>
        </w:rPr>
        <w:lastRenderedPageBreak/>
        <w:t xml:space="preserve">инфицированных подростков достигла </w:t>
      </w:r>
      <w:r w:rsidR="00717B0C" w:rsidRPr="00717B0C">
        <w:rPr>
          <w:rFonts w:eastAsiaTheme="minorEastAsia"/>
        </w:rPr>
        <w:t>1098 человек.</w:t>
      </w:r>
      <w:r w:rsidR="00717B0C">
        <w:rPr>
          <w:rFonts w:eastAsiaTheme="minorEastAsia"/>
        </w:rPr>
        <w:t xml:space="preserve"> Наибольшее бремя ВИЧ было зарегистрировано </w:t>
      </w:r>
      <w:r w:rsidR="00717B0C" w:rsidRPr="00717B0C">
        <w:rPr>
          <w:rFonts w:eastAsiaTheme="minorEastAsia"/>
        </w:rPr>
        <w:t>в возрастной катег</w:t>
      </w:r>
      <w:r w:rsidR="00717B0C">
        <w:rPr>
          <w:rFonts w:eastAsiaTheme="minorEastAsia"/>
        </w:rPr>
        <w:t>ории 15-20 лет (53 584 человек)</w:t>
      </w:r>
      <w:r w:rsidR="006A1934">
        <w:rPr>
          <w:rFonts w:eastAsiaTheme="minorEastAsia"/>
        </w:rPr>
        <w:t xml:space="preserve"> </w:t>
      </w:r>
      <w:r w:rsidR="006A1934">
        <w:rPr>
          <w:rFonts w:eastAsiaTheme="minorEastAsia"/>
        </w:rPr>
        <w:fldChar w:fldCharType="begin"/>
      </w:r>
      <w:r w:rsidR="006A1934">
        <w:rPr>
          <w:rFonts w:eastAsiaTheme="minorEastAsia"/>
        </w:rPr>
        <w:instrText xml:space="preserve"> ADDIN ZOTERO_ITEM CSL_CITATION {"citationID":"j7mnvsIT","properties":{"formattedCitation":"(1)","plainCitation":"(1)","noteIndex":0},"citationItems":[{"id":6,"uris":["http://zotero.org/users/7777522/items/4KFPL2DN"],"uri":["http://zotero.org/users/7777522/items/4KFPL2DN"],"itemData":{"id":6,"type":"article","title":"Byulleten-45-VICH-infektsiya-2019-g..pdf","URL":"http://www.hivrussia.info/wp-content/uploads/2020/12/Byulleten-45-VICH-infektsiya-2019-g..pdf","accessed":{"date-parts":[["2021",4,1]]}}}],"schema":"https://github.com/citation-style-language/schema/raw/master/csl-citation.json"} </w:instrText>
      </w:r>
      <w:r w:rsidR="006A1934">
        <w:rPr>
          <w:rFonts w:eastAsiaTheme="minorEastAsia"/>
        </w:rPr>
        <w:fldChar w:fldCharType="separate"/>
      </w:r>
      <w:r w:rsidR="006A1934" w:rsidRPr="0056623D">
        <w:rPr>
          <w:rFonts w:eastAsiaTheme="minorEastAsia"/>
        </w:rPr>
        <w:t>(1)</w:t>
      </w:r>
      <w:r w:rsidR="006A1934">
        <w:rPr>
          <w:rFonts w:eastAsiaTheme="minorEastAsia"/>
        </w:rPr>
        <w:fldChar w:fldCharType="end"/>
      </w:r>
      <w:r w:rsidR="006A1934">
        <w:rPr>
          <w:rFonts w:eastAsiaTheme="minorEastAsia"/>
        </w:rPr>
        <w:t>.</w:t>
      </w:r>
    </w:p>
    <w:p w14:paraId="63E9F7F0" w14:textId="77777777" w:rsidR="002956F6" w:rsidRDefault="0089582A" w:rsidP="002956F6">
      <w:pPr>
        <w:pStyle w:val="a"/>
        <w:rPr>
          <w:rFonts w:eastAsiaTheme="minorEastAsia"/>
        </w:rPr>
      </w:pPr>
      <w:r>
        <w:rPr>
          <w:rFonts w:eastAsiaTheme="minorEastAsia"/>
        </w:rPr>
        <w:t xml:space="preserve">Эпидемиологический анализ показал, что </w:t>
      </w:r>
      <w:r w:rsidRPr="00490DB2">
        <w:rPr>
          <w:rFonts w:eastAsiaTheme="minorEastAsia"/>
        </w:rPr>
        <w:t>основным фактором риска заражения</w:t>
      </w:r>
      <w:r>
        <w:rPr>
          <w:rFonts w:eastAsiaTheme="minorEastAsia"/>
        </w:rPr>
        <w:t xml:space="preserve"> для </w:t>
      </w:r>
      <w:r w:rsidRPr="00490DB2">
        <w:rPr>
          <w:rFonts w:eastAsiaTheme="minorEastAsia"/>
        </w:rPr>
        <w:t>детей первых лет жизни является рождение от ВИЧ-инфицированной матери.</w:t>
      </w:r>
      <w:r w:rsidRPr="0089582A">
        <w:rPr>
          <w:rFonts w:eastAsiaTheme="minorEastAsia"/>
        </w:rPr>
        <w:t xml:space="preserve"> </w:t>
      </w:r>
      <w:r w:rsidRPr="00490DB2">
        <w:rPr>
          <w:rFonts w:eastAsiaTheme="minorEastAsia"/>
        </w:rPr>
        <w:t>Увеличение бремени ВИЧ среди женщин фертильного возраста и рост числа родов у ВИЧ-положительных женщин обуславливают ежегодный прирост числа детей с установленным диагнозом ВИЧ-инфекции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ZOTERO_ITEM CSL_CITATION {"citationID":"ZUJRwAuH","properties":{"formattedCitation":"(2)","plainCitation":"(2)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ВИЧ/СПИДа","URL":"http://rushiv.ru/klinicheskie-rekomendatsii-vich-infektsiya-u-detej/","accessed":{"date-parts":[["2021",4,1]]}}}],"schema":"https://github.com/citation-style-language/schema/raw/master/csl-citation.json"} </w:instrText>
      </w:r>
      <w:r>
        <w:rPr>
          <w:rFonts w:eastAsiaTheme="minorEastAsia"/>
        </w:rPr>
        <w:fldChar w:fldCharType="separate"/>
      </w:r>
      <w:r w:rsidRPr="0089582A">
        <w:rPr>
          <w:rFonts w:eastAsiaTheme="minorEastAsia"/>
        </w:rPr>
        <w:t>(2)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.</w:t>
      </w:r>
      <w:r w:rsidR="004617E6">
        <w:rPr>
          <w:rFonts w:eastAsiaTheme="minorEastAsia"/>
        </w:rPr>
        <w:t xml:space="preserve"> По данным </w:t>
      </w:r>
      <w:r w:rsidR="004617E6" w:rsidRPr="004617E6">
        <w:rPr>
          <w:rFonts w:eastAsiaTheme="minorEastAsia"/>
        </w:rPr>
        <w:t>научно-методического центра по профилактике и борьбе со СПИДом</w:t>
      </w:r>
      <w:r w:rsidR="004617E6">
        <w:rPr>
          <w:rFonts w:eastAsiaTheme="minorEastAsia"/>
        </w:rPr>
        <w:t>, на начало 2020 года к</w:t>
      </w:r>
      <w:r w:rsidR="004617E6" w:rsidRPr="004617E6">
        <w:rPr>
          <w:rFonts w:eastAsiaTheme="minorEastAsia"/>
        </w:rPr>
        <w:t>умулятивное количество детей, инфицированных</w:t>
      </w:r>
      <w:r w:rsidR="004617E6">
        <w:rPr>
          <w:rFonts w:eastAsiaTheme="minorEastAsia"/>
        </w:rPr>
        <w:t xml:space="preserve"> </w:t>
      </w:r>
      <w:r w:rsidR="004617E6" w:rsidRPr="004617E6">
        <w:rPr>
          <w:rFonts w:eastAsiaTheme="minorEastAsia"/>
        </w:rPr>
        <w:t>от ВИЧ-позитивных матерей, с подтвержденным</w:t>
      </w:r>
      <w:r w:rsidR="004617E6">
        <w:rPr>
          <w:rFonts w:eastAsiaTheme="minorEastAsia"/>
        </w:rPr>
        <w:t xml:space="preserve"> </w:t>
      </w:r>
      <w:r w:rsidR="004617E6" w:rsidRPr="004617E6">
        <w:rPr>
          <w:rFonts w:eastAsiaTheme="minorEastAsia"/>
        </w:rPr>
        <w:t>диагнозом ВИЧ-инфекция</w:t>
      </w:r>
      <w:r w:rsidR="004617E6">
        <w:rPr>
          <w:rFonts w:eastAsiaTheme="minorEastAsia"/>
        </w:rPr>
        <w:t xml:space="preserve"> достигла </w:t>
      </w:r>
      <w:r w:rsidR="004617E6" w:rsidRPr="004617E6">
        <w:rPr>
          <w:rFonts w:eastAsiaTheme="minorEastAsia"/>
        </w:rPr>
        <w:t>9 734</w:t>
      </w:r>
      <w:r w:rsidR="004617E6">
        <w:rPr>
          <w:rFonts w:eastAsiaTheme="minorEastAsia"/>
        </w:rPr>
        <w:t xml:space="preserve"> человек </w:t>
      </w:r>
      <w:r w:rsidR="004617E6">
        <w:rPr>
          <w:rFonts w:eastAsiaTheme="minorEastAsia"/>
        </w:rPr>
        <w:fldChar w:fldCharType="begin"/>
      </w:r>
      <w:r w:rsidR="004617E6">
        <w:rPr>
          <w:rFonts w:eastAsiaTheme="minorEastAsia"/>
        </w:rPr>
        <w:instrText xml:space="preserve"> ADDIN ZOTERO_ITEM CSL_CITATION {"citationID":"PsE6Ul7E","properties":{"formattedCitation":"(1)","plainCitation":"(1)","noteIndex":0},"citationItems":[{"id":6,"uris":["http://zotero.org/users/7777522/items/4KFPL2DN"],"uri":["http://zotero.org/users/7777522/items/4KFPL2DN"],"itemData":{"id":6,"type":"article","title":"Byulleten-45-VICH-infektsiya-2019-g..pdf","URL":"http://www.hivrussia.info/wp-content/uploads/2020/12/Byulleten-45-VICH-infektsiya-2019-g..pdf","accessed":{"date-parts":[["2021",4,1]]}}}],"schema":"https://github.com/citation-style-language/schema/raw/master/csl-citation.json"} </w:instrText>
      </w:r>
      <w:r w:rsidR="004617E6">
        <w:rPr>
          <w:rFonts w:eastAsiaTheme="minorEastAsia"/>
        </w:rPr>
        <w:fldChar w:fldCharType="separate"/>
      </w:r>
      <w:r w:rsidR="004617E6" w:rsidRPr="004617E6">
        <w:rPr>
          <w:rFonts w:eastAsiaTheme="minorEastAsia"/>
        </w:rPr>
        <w:t>(1)</w:t>
      </w:r>
      <w:r w:rsidR="004617E6">
        <w:rPr>
          <w:rFonts w:eastAsiaTheme="minorEastAsia"/>
        </w:rPr>
        <w:fldChar w:fldCharType="end"/>
      </w:r>
      <w:r w:rsidR="004617E6">
        <w:rPr>
          <w:rFonts w:eastAsiaTheme="minorEastAsia"/>
        </w:rPr>
        <w:t xml:space="preserve">. </w:t>
      </w:r>
    </w:p>
    <w:p w14:paraId="14E16B28" w14:textId="7C9480F4" w:rsidR="00717B0C" w:rsidRDefault="004617E6" w:rsidP="002956F6">
      <w:pPr>
        <w:pStyle w:val="a"/>
        <w:rPr>
          <w:rFonts w:eastAsiaTheme="minorEastAsia"/>
        </w:rPr>
      </w:pPr>
      <w:r>
        <w:rPr>
          <w:rFonts w:eastAsiaTheme="minorEastAsia"/>
        </w:rPr>
        <w:t xml:space="preserve">При этом, </w:t>
      </w:r>
      <w:r w:rsidRPr="004617E6">
        <w:rPr>
          <w:rFonts w:eastAsiaTheme="minorEastAsia"/>
        </w:rPr>
        <w:t xml:space="preserve">за весь период наблюдения к 30 сентября 2020 года в РФ родилось 215 695 живых детей от </w:t>
      </w:r>
      <w:r w:rsidR="002956F6" w:rsidRPr="004617E6">
        <w:rPr>
          <w:rFonts w:eastAsiaTheme="minorEastAsia"/>
        </w:rPr>
        <w:t>ВИЧ</w:t>
      </w:r>
      <w:r w:rsidR="002956F6">
        <w:rPr>
          <w:rFonts w:eastAsiaTheme="minorEastAsia"/>
        </w:rPr>
        <w:t>-</w:t>
      </w:r>
      <w:r w:rsidRPr="004617E6">
        <w:rPr>
          <w:rFonts w:eastAsiaTheme="minorEastAsia"/>
        </w:rPr>
        <w:t>инфицированных матерей</w:t>
      </w:r>
      <w:r w:rsidR="00AA301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AA3012" w:rsidRPr="004617E6">
        <w:rPr>
          <w:rFonts w:eastAsiaTheme="minorEastAsia"/>
        </w:rPr>
        <w:t>ВИЧ-инфекция была подтверждена в 5,4% случаев (11 623 детей</w:t>
      </w:r>
      <w:r w:rsidR="00AA3012">
        <w:rPr>
          <w:rFonts w:eastAsiaTheme="minorEastAsia"/>
        </w:rPr>
        <w:t xml:space="preserve">)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ZOTERO_ITEM CSL_CITATION {"citationID":"Osf3qus7","properties":{"formattedCitation":"(3)","plainCitation":"(3)","noteIndex":0},"citationItems":[{"id":8,"uris":["http://zotero.org/users/7777522/items/46QIZYK5"],"uri":["http://zotero.org/users/7777522/items/46QIZYK5"],"itemData":{"id":8,"type":"article","title":"Spravka-VICH-v-Rossii-9-mes-2020.pdf","URL":"http://www.hivrussia.info/wp-content/uploads/2020/11/Spravka-VICH-v-Rossii-9-mes-2020.pdf","accessed":{"date-parts":[["2021",4,1]]}}}],"schema":"https://github.com/citation-style-language/schema/raw/master/csl-citation.json"} </w:instrText>
      </w:r>
      <w:r>
        <w:rPr>
          <w:rFonts w:eastAsiaTheme="minorEastAsia"/>
        </w:rPr>
        <w:fldChar w:fldCharType="separate"/>
      </w:r>
      <w:r w:rsidRPr="004617E6">
        <w:rPr>
          <w:rFonts w:eastAsiaTheme="minorEastAsia"/>
        </w:rPr>
        <w:t>(3)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. </w:t>
      </w:r>
      <w:r w:rsidR="002956F6" w:rsidRPr="004617E6">
        <w:rPr>
          <w:rFonts w:eastAsiaTheme="minorEastAsia"/>
        </w:rPr>
        <w:t>Растет количество детей, зараженных при грудном вскармливании</w:t>
      </w:r>
      <w:r w:rsidR="002956F6">
        <w:rPr>
          <w:rFonts w:eastAsiaTheme="minorEastAsia"/>
        </w:rPr>
        <w:t xml:space="preserve">. </w:t>
      </w:r>
      <w:r w:rsidR="002956F6" w:rsidRPr="004617E6">
        <w:rPr>
          <w:rFonts w:eastAsiaTheme="minorEastAsia"/>
        </w:rPr>
        <w:t>При отсутствии специализированной медицинской помощи до 52% детей не доживают до двухлетнего возраста</w:t>
      </w:r>
      <w:r w:rsidR="002956F6">
        <w:rPr>
          <w:rFonts w:eastAsiaTheme="minorEastAsia"/>
        </w:rPr>
        <w:t>.</w:t>
      </w:r>
      <w:r w:rsidR="002956F6" w:rsidRPr="002956F6">
        <w:rPr>
          <w:rFonts w:eastAsiaTheme="minorEastAsia"/>
        </w:rPr>
        <w:t xml:space="preserve"> </w:t>
      </w:r>
      <w:r w:rsidR="002956F6" w:rsidRPr="00490DB2">
        <w:rPr>
          <w:rFonts w:eastAsiaTheme="minorEastAsia"/>
        </w:rPr>
        <w:t>Смертность среди детей первого года жизни с подтвержденным диагнозом ВИЧ/СПИД составляет порядка 6% при общей летальности детей до 14 лет – 8%. В возрасте 15-20 лет треть подростков с диагнозом ВИЧ/СПИД погибает</w:t>
      </w:r>
      <w:r w:rsidR="002956F6">
        <w:rPr>
          <w:rFonts w:eastAsiaTheme="minorEastAsia"/>
        </w:rPr>
        <w:t xml:space="preserve"> </w:t>
      </w:r>
      <w:r w:rsidR="002956F6">
        <w:rPr>
          <w:rFonts w:eastAsiaTheme="minorEastAsia"/>
        </w:rPr>
        <w:fldChar w:fldCharType="begin"/>
      </w:r>
      <w:r w:rsidR="002956F6">
        <w:rPr>
          <w:rFonts w:eastAsiaTheme="minorEastAsia"/>
        </w:rPr>
        <w:instrText xml:space="preserve"> ADDIN ZOTERO_ITEM CSL_CITATION {"citationID":"nmnM2Hs7","properties":{"formattedCitation":"(1)","plainCitation":"(1)","noteIndex":0},"citationItems":[{"id":6,"uris":["http://zotero.org/users/7777522/items/4KFPL2DN"],"uri":["http://zotero.org/users/7777522/items/4KFPL2DN"],"itemData":{"id":6,"type":"article","title":"Byulleten-45-VICH-infektsiya-2019-g..pdf","URL":"http://www.hivrussia.info/wp-content/uploads/2020/12/Byulleten-45-VICH-infektsiya-2019-g..pdf","accessed":{"date-parts":[["2021",4,1]]}}}],"schema":"https://github.com/citation-style-language/schema/raw/master/csl-citation.json"} </w:instrText>
      </w:r>
      <w:r w:rsidR="002956F6">
        <w:rPr>
          <w:rFonts w:eastAsiaTheme="minorEastAsia"/>
        </w:rPr>
        <w:fldChar w:fldCharType="separate"/>
      </w:r>
      <w:r w:rsidR="002956F6" w:rsidRPr="002956F6">
        <w:rPr>
          <w:rFonts w:eastAsiaTheme="minorEastAsia"/>
        </w:rPr>
        <w:t>(1)</w:t>
      </w:r>
      <w:r w:rsidR="002956F6">
        <w:rPr>
          <w:rFonts w:eastAsiaTheme="minorEastAsia"/>
        </w:rPr>
        <w:fldChar w:fldCharType="end"/>
      </w:r>
      <w:r w:rsidR="002956F6">
        <w:rPr>
          <w:rFonts w:eastAsiaTheme="minorEastAsia"/>
        </w:rPr>
        <w:t>.</w:t>
      </w:r>
    </w:p>
    <w:p w14:paraId="4B292DEB" w14:textId="51A30585" w:rsidR="00ED151D" w:rsidRPr="00ED151D" w:rsidRDefault="00ED151D" w:rsidP="00ED151D">
      <w:pPr>
        <w:pStyle w:val="a"/>
        <w:rPr>
          <w:rFonts w:eastAsiaTheme="minorEastAsia"/>
        </w:rPr>
      </w:pPr>
      <w:r w:rsidRPr="00ED151D">
        <w:rPr>
          <w:rFonts w:eastAsiaTheme="minorEastAsia"/>
        </w:rPr>
        <w:t xml:space="preserve">В мировой практике преимущества </w:t>
      </w:r>
      <w:r>
        <w:rPr>
          <w:rFonts w:eastAsiaTheme="minorEastAsia"/>
        </w:rPr>
        <w:t>антиретровирусной терапии (</w:t>
      </w:r>
      <w:r w:rsidRPr="00ED151D">
        <w:rPr>
          <w:rFonts w:eastAsiaTheme="minorEastAsia"/>
        </w:rPr>
        <w:t>АРТ</w:t>
      </w:r>
      <w:r>
        <w:rPr>
          <w:rFonts w:eastAsiaTheme="minorEastAsia"/>
        </w:rPr>
        <w:t>)</w:t>
      </w:r>
      <w:r w:rsidRPr="00ED151D">
        <w:rPr>
          <w:rFonts w:eastAsiaTheme="minorEastAsia"/>
        </w:rPr>
        <w:t xml:space="preserve"> в отношении заболеваемости</w:t>
      </w:r>
      <w:r>
        <w:rPr>
          <w:rFonts w:eastAsiaTheme="minorEastAsia"/>
        </w:rPr>
        <w:t xml:space="preserve"> </w:t>
      </w:r>
      <w:r w:rsidRPr="00ED151D">
        <w:rPr>
          <w:rFonts w:eastAsiaTheme="minorEastAsia"/>
        </w:rPr>
        <w:t xml:space="preserve">и смертности ВИЧ-инфекции </w:t>
      </w:r>
      <w:r>
        <w:rPr>
          <w:rFonts w:eastAsiaTheme="minorEastAsia"/>
        </w:rPr>
        <w:t xml:space="preserve">в педиатрической популяции </w:t>
      </w:r>
      <w:r w:rsidRPr="00ED151D">
        <w:rPr>
          <w:rFonts w:eastAsiaTheme="minorEastAsia"/>
        </w:rPr>
        <w:t>не подлежат сомнению.</w:t>
      </w:r>
      <w:r>
        <w:rPr>
          <w:rFonts w:eastAsiaTheme="minorEastAsia"/>
        </w:rPr>
        <w:t xml:space="preserve"> </w:t>
      </w:r>
      <w:r w:rsidRPr="00ED151D">
        <w:rPr>
          <w:rFonts w:eastAsiaTheme="minorEastAsia"/>
        </w:rPr>
        <w:t xml:space="preserve">Польза АРТ перевешивает риск, с которым связано применение данных лекарственных средств у ВИЧ-инфицированных детей и подростков. </w:t>
      </w:r>
      <w:r w:rsidR="00FB1D03">
        <w:rPr>
          <w:rFonts w:eastAsiaTheme="minorEastAsia"/>
        </w:rPr>
        <w:t xml:space="preserve">Вместе с тем, возрастные особенности педиатрической популяции ограничивают арсенал эффективных и безопасных антиретровирусных препаратов (АРП). </w:t>
      </w:r>
    </w:p>
    <w:p w14:paraId="08BFE8F1" w14:textId="1CC5F77D" w:rsidR="00A84E5F" w:rsidRDefault="000F64D4" w:rsidP="00A84E5F">
      <w:pPr>
        <w:pStyle w:val="Heading2"/>
        <w:rPr>
          <w:rFonts w:eastAsiaTheme="minorEastAsia"/>
        </w:rPr>
      </w:pPr>
      <w:bookmarkStart w:id="4" w:name="_Toc68213881"/>
      <w:r>
        <w:rPr>
          <w:rFonts w:eastAsiaTheme="minorEastAsia"/>
        </w:rPr>
        <w:t>Проблемы и принципы</w:t>
      </w:r>
      <w:r w:rsidR="00A84E5F">
        <w:rPr>
          <w:rFonts w:eastAsiaTheme="minorEastAsia"/>
        </w:rPr>
        <w:t xml:space="preserve"> АРТ у детей и подростков</w:t>
      </w:r>
      <w:bookmarkEnd w:id="4"/>
    </w:p>
    <w:p w14:paraId="5BAA9CF2" w14:textId="3ACC1095" w:rsidR="00A84E5F" w:rsidRDefault="004934ED" w:rsidP="00484714">
      <w:pPr>
        <w:pStyle w:val="a"/>
        <w:rPr>
          <w:rFonts w:eastAsiaTheme="minorEastAsia"/>
        </w:rPr>
      </w:pPr>
      <w:r w:rsidRPr="004934ED">
        <w:rPr>
          <w:rFonts w:eastAsiaTheme="minorEastAsia"/>
        </w:rPr>
        <w:t xml:space="preserve">Единственным специфическим методом лечения ВИЧ-инфекции на сегодняшний день является пожизненное применение </w:t>
      </w:r>
      <w:r w:rsidR="00C76B1F">
        <w:rPr>
          <w:rFonts w:eastAsiaTheme="minorEastAsia"/>
        </w:rPr>
        <w:t>АРП</w:t>
      </w:r>
      <w:r w:rsidRPr="004934ED">
        <w:rPr>
          <w:rFonts w:eastAsiaTheme="minorEastAsia"/>
        </w:rPr>
        <w:t xml:space="preserve">. </w:t>
      </w:r>
      <w:r>
        <w:rPr>
          <w:rFonts w:eastAsiaTheme="minorEastAsia"/>
        </w:rPr>
        <w:t>К сожалению, у</w:t>
      </w:r>
      <w:r w:rsidR="000F64D4" w:rsidRPr="00A82285">
        <w:rPr>
          <w:rFonts w:eastAsiaTheme="minorEastAsia"/>
        </w:rPr>
        <w:t>ровень охвата АРТ среди детей значительно ниже соответствующего показателя среди взрослого ВИЧ-инфицированного населения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ZOTERO_ITEM CSL_CITATION {"citationID":"JP6YFMyU","properties":{"formattedCitation":"(2)","plainCitation":"(2)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ВИЧ/СПИДа","URL":"http://rushiv.ru/klinicheskie-rekomendatsii-vich-infektsiya-u-detej/","accessed":{"date-parts":[["2021",4,1]]}}}],"schema":"https://github.com/citation-style-language/schema/raw/master/csl-citation.json"} </w:instrText>
      </w:r>
      <w:r>
        <w:rPr>
          <w:rFonts w:eastAsiaTheme="minorEastAsia"/>
        </w:rPr>
        <w:fldChar w:fldCharType="separate"/>
      </w:r>
      <w:r w:rsidRPr="004934ED">
        <w:rPr>
          <w:rFonts w:eastAsiaTheme="minorEastAsia"/>
        </w:rPr>
        <w:t>(2)</w:t>
      </w:r>
      <w:r>
        <w:rPr>
          <w:rFonts w:eastAsiaTheme="minorEastAsia"/>
        </w:rPr>
        <w:fldChar w:fldCharType="end"/>
      </w:r>
      <w:r w:rsidR="000F64D4">
        <w:rPr>
          <w:rFonts w:eastAsiaTheme="minorEastAsia"/>
        </w:rPr>
        <w:t>.</w:t>
      </w:r>
    </w:p>
    <w:p w14:paraId="57DADE15" w14:textId="2FCF7F70" w:rsidR="000F64D4" w:rsidRDefault="00C76B1F" w:rsidP="00484714">
      <w:pPr>
        <w:pStyle w:val="a"/>
        <w:rPr>
          <w:rFonts w:eastAsiaTheme="minorEastAsia"/>
        </w:rPr>
      </w:pPr>
      <w:r w:rsidRPr="00C76B1F">
        <w:rPr>
          <w:rFonts w:eastAsiaTheme="minorEastAsia"/>
        </w:rPr>
        <w:t>Решающим условием достижения клинической, иммунологической и вирусологической эффективности АРТ является соблюдение приверженности, или режима лечения.</w:t>
      </w:r>
      <w:r>
        <w:rPr>
          <w:rFonts w:eastAsiaTheme="minorEastAsia"/>
        </w:rPr>
        <w:t xml:space="preserve"> Ограничения приверженности внутри каждой возрастной когорты опре</w:t>
      </w:r>
      <w:r w:rsidR="00CB6D20">
        <w:rPr>
          <w:rFonts w:eastAsiaTheme="minorEastAsia"/>
        </w:rPr>
        <w:t>деляют востребованность АРП с де</w:t>
      </w:r>
      <w:r>
        <w:rPr>
          <w:rFonts w:eastAsiaTheme="minorEastAsia"/>
        </w:rPr>
        <w:t xml:space="preserve">тскими лекарственными формами и минимальной кратностью применения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ZOTERO_ITEM CSL_CITATION {"citationID":"bMpugL0Z","properties":{"formattedCitation":"(2,4)","plainCitation":"(2,4)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,"label":"page"},{"id":13,"uris":["http://zotero.org/users/7777522/items/4QY37EVB"],"uri":["http://zotero.org/users/7777522/items/4QY37EVB"],"itemData":{"id":13,"type":"article","title":"PediatricGuidelines.pdf","URL":"https://clinicalinfo.hiv.gov/sites/default/files/guidelines/documents/PediatricGuidelines.pdf","accessed":{"date-parts":[["2021",4,2]]}},"label":"page"}],"schema":"https://github.com/citation-style-language/schema/raw/master/csl-citation.json"} </w:instrText>
      </w:r>
      <w:r>
        <w:rPr>
          <w:rFonts w:eastAsiaTheme="minorEastAsia"/>
        </w:rPr>
        <w:fldChar w:fldCharType="separate"/>
      </w:r>
      <w:r w:rsidRPr="00C76B1F">
        <w:rPr>
          <w:rFonts w:eastAsiaTheme="minorEastAsia"/>
        </w:rPr>
        <w:t>(2,4)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. </w:t>
      </w:r>
    </w:p>
    <w:p w14:paraId="005B2F4A" w14:textId="44126019" w:rsidR="004934ED" w:rsidRDefault="00920A67" w:rsidP="00484714">
      <w:pPr>
        <w:pStyle w:val="a"/>
        <w:rPr>
          <w:rFonts w:eastAsiaTheme="minorEastAsia"/>
        </w:rPr>
      </w:pPr>
      <w:r>
        <w:rPr>
          <w:rFonts w:eastAsiaTheme="minorEastAsia"/>
        </w:rPr>
        <w:t xml:space="preserve">Кроме того, важно учитывать высокий риск развития резистентности ВИЧ к АРП с течением времени в случае перинатальной передачи инфекции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ZOTERO_ITEM CSL_CITATION {"citationID":"x0Xd2yvg","properties":{"formattedCitation":"(2,4)","plainCitation":"(2,4)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,"label":"page"},{"id":13,"uris":["http://zotero.org/users/7777522/items/4QY37EVB"],"uri":["http://zotero.org/users/7777522/items/4QY37EVB"],"itemData":{"id":13,"type":"article","title":"PediatricGuidelines.pdf","URL":"https://clinicalinfo.hiv.gov/sites/default/files/guidelines/documents/PediatricGuidelines.pdf","accessed":{"date-parts":[["2021",4,2]]}},"label":"page"}],"schema":"https://github.com/citation-style-language/schema/raw/master/csl-citation.json"} </w:instrText>
      </w:r>
      <w:r>
        <w:rPr>
          <w:rFonts w:eastAsiaTheme="minorEastAsia"/>
        </w:rPr>
        <w:fldChar w:fldCharType="separate"/>
      </w:r>
      <w:r w:rsidRPr="00920A67">
        <w:rPr>
          <w:rFonts w:eastAsiaTheme="minorEastAsia"/>
        </w:rPr>
        <w:t>(2,4)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. </w:t>
      </w:r>
    </w:p>
    <w:p w14:paraId="4531ECA5" w14:textId="19485C7C" w:rsidR="004934ED" w:rsidRDefault="00EF3D27" w:rsidP="00EF3D27">
      <w:pPr>
        <w:pStyle w:val="a"/>
        <w:rPr>
          <w:rFonts w:eastAsiaTheme="minorEastAsia"/>
        </w:rPr>
      </w:pPr>
      <w:r>
        <w:rPr>
          <w:rFonts w:eastAsiaTheme="minorEastAsia"/>
        </w:rPr>
        <w:t>Н</w:t>
      </w:r>
      <w:r w:rsidRPr="00EF3D27">
        <w:rPr>
          <w:rFonts w:eastAsiaTheme="minorEastAsia"/>
        </w:rPr>
        <w:t xml:space="preserve">ормативной документацией рекомендовано применение в педиатрической популяции препаратов с доказанной в </w:t>
      </w:r>
      <w:r>
        <w:rPr>
          <w:rFonts w:eastAsiaTheme="minorEastAsia"/>
        </w:rPr>
        <w:t>клинических исследованиях</w:t>
      </w:r>
      <w:r w:rsidRPr="00EF3D27">
        <w:rPr>
          <w:rFonts w:eastAsiaTheme="minorEastAsia"/>
        </w:rPr>
        <w:t xml:space="preserve"> эффективностью и </w:t>
      </w:r>
      <w:r w:rsidRPr="00EF3D27">
        <w:rPr>
          <w:rFonts w:eastAsiaTheme="minorEastAsia"/>
        </w:rPr>
        <w:lastRenderedPageBreak/>
        <w:t>безопасностью.</w:t>
      </w:r>
      <w:r>
        <w:rPr>
          <w:rFonts w:eastAsiaTheme="minorEastAsia"/>
        </w:rPr>
        <w:t xml:space="preserve"> </w:t>
      </w:r>
      <w:r w:rsidRPr="00EF3D27">
        <w:rPr>
          <w:rFonts w:eastAsiaTheme="minorEastAsia"/>
        </w:rPr>
        <w:t>К сожалению, арсенал АРП, прошедших лицензирование в педиатрической популяции, относительно невелик</w:t>
      </w:r>
      <w:r w:rsidR="005E51D6" w:rsidRPr="005E51D6">
        <w:rPr>
          <w:rFonts w:eastAsiaTheme="minorEastAsia"/>
        </w:rPr>
        <w:t xml:space="preserve"> </w:t>
      </w:r>
      <w:r w:rsidR="005E51D6">
        <w:rPr>
          <w:rFonts w:eastAsiaTheme="minorEastAsia"/>
        </w:rPr>
        <w:fldChar w:fldCharType="begin"/>
      </w:r>
      <w:r w:rsidR="005E51D6">
        <w:rPr>
          <w:rFonts w:eastAsiaTheme="minorEastAsia"/>
        </w:rPr>
        <w:instrText xml:space="preserve"> ADDIN ZOTERO_ITEM CSL_CITATION {"citationID":"nJv8f7TR","properties":{"formattedCitation":"(2,4)","plainCitation":"(2,4)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,"label":"page"},{"id":13,"uris":["http://zotero.org/users/7777522/items/4QY37EVB"],"uri":["http://zotero.org/users/7777522/items/4QY37EVB"],"itemData":{"id":13,"type":"article","title":"PediatricGuidelines.pdf","URL":"https://clinicalinfo.hiv.gov/sites/default/files/guidelines/documents/PediatricGuidelines.pdf","accessed":{"date-parts":[["2021",4,2]]}},"label":"page"}],"schema":"https://github.com/citation-style-language/schema/raw/master/csl-citation.json"} </w:instrText>
      </w:r>
      <w:r w:rsidR="005E51D6">
        <w:rPr>
          <w:rFonts w:eastAsiaTheme="minorEastAsia"/>
        </w:rPr>
        <w:fldChar w:fldCharType="separate"/>
      </w:r>
      <w:r w:rsidR="005E51D6" w:rsidRPr="005E51D6">
        <w:rPr>
          <w:rFonts w:eastAsiaTheme="minorEastAsia"/>
        </w:rPr>
        <w:t>(2,4)</w:t>
      </w:r>
      <w:r w:rsidR="005E51D6">
        <w:rPr>
          <w:rFonts w:eastAsiaTheme="minorEastAsia"/>
        </w:rPr>
        <w:fldChar w:fldCharType="end"/>
      </w:r>
      <w:r w:rsidRPr="00EF3D27">
        <w:rPr>
          <w:rFonts w:eastAsiaTheme="minorEastAsia"/>
        </w:rPr>
        <w:t>.</w:t>
      </w:r>
    </w:p>
    <w:p w14:paraId="694C91AE" w14:textId="4911B675" w:rsidR="00EF3D27" w:rsidRDefault="00EF3D27" w:rsidP="00EF3D27">
      <w:pPr>
        <w:pStyle w:val="a"/>
      </w:pPr>
      <w:r w:rsidRPr="00EF3D27">
        <w:t>Препарат Интеленс</w:t>
      </w:r>
      <w:r w:rsidRPr="00EF3D27">
        <w:rPr>
          <w:vertAlign w:val="superscript"/>
        </w:rPr>
        <w:t>®</w:t>
      </w:r>
      <w:r w:rsidRPr="00EF3D27">
        <w:t xml:space="preserve"> (Этравирин)</w:t>
      </w:r>
      <w:r>
        <w:t xml:space="preserve"> </w:t>
      </w:r>
      <w:r w:rsidRPr="00EF3D27">
        <w:t xml:space="preserve">продемонстрировал эффективность у детей разных возрастных групп. Начиная с </w:t>
      </w:r>
      <w:r w:rsidR="00CB6D20">
        <w:t>двух</w:t>
      </w:r>
      <w:r w:rsidRPr="00EF3D27">
        <w:t xml:space="preserve"> лет препарат Интеленс</w:t>
      </w:r>
      <w:r w:rsidRPr="00EF3D27">
        <w:rPr>
          <w:vertAlign w:val="superscript"/>
        </w:rPr>
        <w:t>®</w:t>
      </w:r>
      <w:r w:rsidRPr="00EF3D27">
        <w:t xml:space="preserve"> (Этравирин) может быть включен </w:t>
      </w:r>
      <w:r w:rsidR="00264903">
        <w:t>в</w:t>
      </w:r>
      <w:r w:rsidRPr="00EF3D27">
        <w:t xml:space="preserve"> АРТ-схемы ВИЧ-инфицированных детей</w:t>
      </w:r>
      <w:r w:rsidR="005E51D6" w:rsidRPr="005E51D6">
        <w:t xml:space="preserve"> </w:t>
      </w:r>
      <w:r w:rsidR="005E51D6">
        <w:fldChar w:fldCharType="begin"/>
      </w:r>
      <w:r w:rsidR="005E51D6">
        <w:instrText xml:space="preserve"> ADDIN ZOTERO_ITEM CSL_CITATION {"citationID":"vaHco2Vy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 w:rsidR="005E51D6">
        <w:fldChar w:fldCharType="separate"/>
      </w:r>
      <w:r w:rsidR="005E51D6" w:rsidRPr="005E51D6">
        <w:t>(5)</w:t>
      </w:r>
      <w:r w:rsidR="005E51D6">
        <w:fldChar w:fldCharType="end"/>
      </w:r>
      <w:r w:rsidRPr="00EF3D27">
        <w:t>.</w:t>
      </w:r>
    </w:p>
    <w:p w14:paraId="78DDC5F0" w14:textId="47917E05" w:rsidR="0027355B" w:rsidRPr="0027355B" w:rsidRDefault="0027355B" w:rsidP="0027355B">
      <w:pPr>
        <w:pStyle w:val="a"/>
      </w:pPr>
      <w:r w:rsidRPr="0027355B">
        <w:t>Препарат Интеленс</w:t>
      </w:r>
      <w:r w:rsidRPr="0027355B">
        <w:rPr>
          <w:vertAlign w:val="superscript"/>
        </w:rPr>
        <w:t>®</w:t>
      </w:r>
      <w:r w:rsidRPr="0027355B">
        <w:t xml:space="preserve"> (Этравирин) выпускается в таблетках по 25 мг и 100 мг, что позволяет назначать его детям разного возраста и с разной массой тела.</w:t>
      </w:r>
      <w:r>
        <w:t xml:space="preserve"> </w:t>
      </w:r>
      <w:r w:rsidR="00313488" w:rsidRPr="00313488">
        <w:t>Препарат, в зависимости от возраста, назначался в таблетках целиком или в виде</w:t>
      </w:r>
      <w:r w:rsidR="00905CB3" w:rsidRPr="00905CB3">
        <w:t xml:space="preserve"> таблеток, растворенных в воде</w:t>
      </w:r>
      <w:r w:rsidR="00313488" w:rsidRPr="00905CB3">
        <w:t>.</w:t>
      </w:r>
      <w:r w:rsidR="00313488" w:rsidRPr="00313488">
        <w:t xml:space="preserve"> В последнем случае этравирин </w:t>
      </w:r>
      <w:r w:rsidR="00CB6D20">
        <w:t xml:space="preserve">рекомендовано </w:t>
      </w:r>
      <w:r w:rsidR="00313488" w:rsidRPr="00313488">
        <w:t>размешива</w:t>
      </w:r>
      <w:r w:rsidR="00CB6D20">
        <w:t>ть</w:t>
      </w:r>
      <w:r w:rsidR="00313488" w:rsidRPr="00313488">
        <w:t xml:space="preserve"> в 5 мл воды, </w:t>
      </w:r>
      <w:r w:rsidR="00D934BB">
        <w:t xml:space="preserve">затем </w:t>
      </w:r>
      <w:r w:rsidR="00313488" w:rsidRPr="00313488">
        <w:t>дополнительно диспергировав в 30 мл воды, апельсинового сока или</w:t>
      </w:r>
      <w:r w:rsidR="00EB0A94">
        <w:t xml:space="preserve"> молока</w:t>
      </w:r>
      <w:r w:rsidR="00EB0A94" w:rsidRPr="00EB0A94">
        <w:rPr>
          <w:vertAlign w:val="superscript"/>
        </w:rPr>
        <w:t>*</w:t>
      </w:r>
      <w:r w:rsidR="00313488">
        <w:t xml:space="preserve">. </w:t>
      </w:r>
      <w:r w:rsidR="00CB6D20">
        <w:t>Таким образом, с</w:t>
      </w:r>
      <w:r w:rsidR="00CB6D20" w:rsidRPr="0027355B">
        <w:t xml:space="preserve">пособ применения допускает довольно широкий диапазон вкусовых качеств </w:t>
      </w:r>
      <w:r w:rsidR="00905CB3">
        <w:t>растворенного препарата</w:t>
      </w:r>
      <w:r w:rsidR="00CB6D20">
        <w:t xml:space="preserve"> в соответствии с возрастом пациента</w:t>
      </w:r>
      <w:r w:rsidR="00CB6D20" w:rsidRPr="0027355B">
        <w:t>.</w:t>
      </w:r>
      <w:r w:rsidR="00CB6D20">
        <w:t xml:space="preserve"> </w:t>
      </w:r>
      <w:r w:rsidRPr="0027355B">
        <w:t>Кратность применения и простота режима дозирования способствует повышению приверженности</w:t>
      </w:r>
      <w:r>
        <w:t xml:space="preserve"> </w:t>
      </w:r>
      <w:r>
        <w:fldChar w:fldCharType="begin"/>
      </w:r>
      <w:r w:rsidR="00C76B1F">
        <w:instrText xml:space="preserve"> ADDIN ZOTERO_ITEM CSL_CITATION {"citationID":"7jOB3yw8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>
        <w:fldChar w:fldCharType="separate"/>
      </w:r>
      <w:r w:rsidR="00C76B1F" w:rsidRPr="00C76B1F">
        <w:t>(5)</w:t>
      </w:r>
      <w:r>
        <w:fldChar w:fldCharType="end"/>
      </w:r>
      <w:r w:rsidRPr="0027355B">
        <w:t>.</w:t>
      </w:r>
    </w:p>
    <w:p w14:paraId="5E33EEFA" w14:textId="6EFF90B4" w:rsidR="00484714" w:rsidRPr="00EF0822" w:rsidRDefault="0027355B" w:rsidP="0027355B">
      <w:pPr>
        <w:pStyle w:val="a"/>
      </w:pPr>
      <w:r w:rsidRPr="0027355B">
        <w:t>Таким образом, лекарственная форма препарата Интеленс</w:t>
      </w:r>
      <w:r w:rsidRPr="0027355B">
        <w:rPr>
          <w:vertAlign w:val="superscript"/>
        </w:rPr>
        <w:t>®</w:t>
      </w:r>
      <w:r w:rsidRPr="0027355B">
        <w:t xml:space="preserve"> (Этравирин) отвечает ключевым требованиям АРТ в педиатрической популяции и позволяет повысить приверженность терапии.</w:t>
      </w:r>
    </w:p>
    <w:p w14:paraId="33E5327D" w14:textId="46198D30" w:rsidR="00F37DFB" w:rsidRPr="00EF0822" w:rsidRDefault="00A84E5F" w:rsidP="00E430FC">
      <w:pPr>
        <w:pStyle w:val="Heading2"/>
      </w:pPr>
      <w:bookmarkStart w:id="5" w:name="_Toc68213882"/>
      <w:r>
        <w:t>Препарат Интеленс</w:t>
      </w:r>
      <w:r w:rsidR="000F64D4" w:rsidRPr="000F64D4">
        <w:rPr>
          <w:rFonts w:cs="Times New Roman"/>
          <w:vertAlign w:val="superscript"/>
        </w:rPr>
        <w:t>®</w:t>
      </w:r>
      <w:r>
        <w:t xml:space="preserve"> в педиатрической популяции</w:t>
      </w:r>
      <w:bookmarkEnd w:id="5"/>
    </w:p>
    <w:p w14:paraId="0CEB690A" w14:textId="77777777" w:rsidR="00CB6D20" w:rsidRDefault="004C4DF0" w:rsidP="004C4DF0">
      <w:pPr>
        <w:pStyle w:val="a"/>
      </w:pPr>
      <w:r w:rsidRPr="004C4DF0">
        <w:t xml:space="preserve">Опции, рекомендованные </w:t>
      </w:r>
      <w:r>
        <w:t xml:space="preserve">отечественными клиническими рекомендациями </w:t>
      </w:r>
      <w:r w:rsidR="0059183B">
        <w:t xml:space="preserve">у детей разных возрастных групп включают применение препарата </w:t>
      </w:r>
      <w:r w:rsidR="0059183B" w:rsidRPr="0059183B">
        <w:t>Интеленс</w:t>
      </w:r>
      <w:r w:rsidR="0059183B" w:rsidRPr="0059183B">
        <w:rPr>
          <w:vertAlign w:val="superscript"/>
        </w:rPr>
        <w:t>®</w:t>
      </w:r>
      <w:r w:rsidR="0059183B">
        <w:rPr>
          <w:vertAlign w:val="superscript"/>
        </w:rPr>
        <w:t xml:space="preserve"> </w:t>
      </w:r>
      <w:r w:rsidR="0059183B">
        <w:rPr>
          <w:vertAlign w:val="superscript"/>
        </w:rPr>
        <w:fldChar w:fldCharType="begin"/>
      </w:r>
      <w:r w:rsidR="0059183B">
        <w:rPr>
          <w:vertAlign w:val="superscript"/>
        </w:rPr>
        <w:instrText xml:space="preserve"> ADDIN ZOTERO_ITEM CSL_CITATION {"citationID":"SagTZWYf","properties":{"formattedCitation":"(2)","plainCitation":"(2)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ВИЧ/СПИДа","URL":"http://rushiv.ru/klinicheskie-rekomendatsii-vich-infektsiya-u-detej/","accessed":{"date-parts":[["2021",4,1]]}}}],"schema":"https://github.com/citation-style-language/schema/raw/master/csl-citation.json"} </w:instrText>
      </w:r>
      <w:r w:rsidR="0059183B">
        <w:rPr>
          <w:vertAlign w:val="superscript"/>
        </w:rPr>
        <w:fldChar w:fldCharType="separate"/>
      </w:r>
      <w:r w:rsidR="0059183B" w:rsidRPr="0059183B">
        <w:t>(2)</w:t>
      </w:r>
      <w:r w:rsidR="0059183B">
        <w:rPr>
          <w:vertAlign w:val="superscript"/>
        </w:rPr>
        <w:fldChar w:fldCharType="end"/>
      </w:r>
      <w:r w:rsidR="0059183B">
        <w:t xml:space="preserve">. </w:t>
      </w:r>
    </w:p>
    <w:p w14:paraId="59FF38FE" w14:textId="3E296D2A" w:rsidR="00FD6295" w:rsidRDefault="00FD6295" w:rsidP="004C4DF0">
      <w:pPr>
        <w:pStyle w:val="a"/>
      </w:pPr>
      <w:r>
        <w:t xml:space="preserve">Активным началом </w:t>
      </w:r>
      <w:r w:rsidRPr="00FD6295">
        <w:t>препарата Интеленс</w:t>
      </w:r>
      <w:r w:rsidRPr="00FD6295">
        <w:rPr>
          <w:vertAlign w:val="superscript"/>
        </w:rPr>
        <w:t>®</w:t>
      </w:r>
      <w:r>
        <w:t xml:space="preserve"> является этравирин - </w:t>
      </w:r>
      <w:r w:rsidRPr="004C4DF0">
        <w:t>ненуклеозидный ингибитор обратной транскриптазы (ННИОТ) ВИЧ-1</w:t>
      </w:r>
      <w:r w:rsidR="00313488">
        <w:t xml:space="preserve"> второго поколения</w:t>
      </w:r>
      <w:r w:rsidRPr="004C4DF0">
        <w:t>.</w:t>
      </w:r>
      <w:r w:rsidRPr="00FD6295">
        <w:t xml:space="preserve"> </w:t>
      </w:r>
      <w:r w:rsidRPr="004C4DF0">
        <w:t>Этравирин не является антагонистом какого-либо из изученных антиретровирусных препаратов и обладает аддитивной противовирусной активностью в комбинации с ингибиторами протеазы.</w:t>
      </w:r>
      <w:r>
        <w:t xml:space="preserve"> </w:t>
      </w:r>
      <w:r w:rsidR="004C4DF0" w:rsidRPr="004C4DF0">
        <w:t xml:space="preserve">С </w:t>
      </w:r>
      <w:r>
        <w:t>февраля текущего года (</w:t>
      </w:r>
      <w:r w:rsidR="004C4DF0" w:rsidRPr="004C4DF0">
        <w:t>03.02.21</w:t>
      </w:r>
      <w:r>
        <w:t>)</w:t>
      </w:r>
      <w:r w:rsidR="004C4DF0" w:rsidRPr="004C4DF0">
        <w:t xml:space="preserve"> </w:t>
      </w:r>
      <w:r w:rsidRPr="00FD6295">
        <w:t>препарат Интеленс</w:t>
      </w:r>
      <w:r w:rsidRPr="00FD6295">
        <w:rPr>
          <w:vertAlign w:val="superscript"/>
        </w:rPr>
        <w:t>®</w:t>
      </w:r>
      <w:r w:rsidR="004C4DF0" w:rsidRPr="004C4DF0">
        <w:t xml:space="preserve"> одобрен для АРТ педиатрической популяции детей с 2</w:t>
      </w:r>
      <w:r>
        <w:t>-</w:t>
      </w:r>
      <w:r w:rsidR="004C4DF0" w:rsidRPr="004C4DF0">
        <w:t>х лет</w:t>
      </w:r>
      <w:r w:rsidR="00080361">
        <w:t xml:space="preserve"> </w:t>
      </w:r>
      <w:r w:rsidR="00080361">
        <w:fldChar w:fldCharType="begin"/>
      </w:r>
      <w:r w:rsidR="00C76B1F">
        <w:instrText xml:space="preserve"> ADDIN ZOTERO_ITEM CSL_CITATION {"citationID":"eZs7iron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 w:rsidR="00080361">
        <w:fldChar w:fldCharType="separate"/>
      </w:r>
      <w:r w:rsidR="00C76B1F" w:rsidRPr="00C76B1F">
        <w:t>(5)</w:t>
      </w:r>
      <w:r w:rsidR="00080361">
        <w:fldChar w:fldCharType="end"/>
      </w:r>
      <w:r w:rsidR="004C4DF0" w:rsidRPr="004C4DF0">
        <w:t xml:space="preserve">. </w:t>
      </w:r>
    </w:p>
    <w:p w14:paraId="53033C74" w14:textId="401AB269" w:rsidR="00C73840" w:rsidRPr="003F191C" w:rsidRDefault="0027355B" w:rsidP="00905CB3">
      <w:pPr>
        <w:pStyle w:val="a"/>
      </w:pPr>
      <w:r w:rsidRPr="00905CB3">
        <w:t>В рамках исследование IMPAACT P1090 I/II фазы была изучена</w:t>
      </w:r>
      <w:r>
        <w:t xml:space="preserve"> э</w:t>
      </w:r>
      <w:r w:rsidR="00C73840" w:rsidRPr="00905CB3">
        <w:t xml:space="preserve">ффективность применения препарата Интеленс® (Этравирин) у ВИЧ-инфицированных детей в возрасте от </w:t>
      </w:r>
      <w:r w:rsidR="00AB5882" w:rsidRPr="00905CB3">
        <w:t>2</w:t>
      </w:r>
      <w:r w:rsidR="00C73840" w:rsidRPr="00905CB3">
        <w:t xml:space="preserve"> до &lt;6 лет</w:t>
      </w:r>
      <w:r w:rsidR="00CB6D20" w:rsidRPr="00905CB3">
        <w:t xml:space="preserve"> </w:t>
      </w:r>
      <w:r w:rsidR="00CB6D20" w:rsidRPr="00905CB3">
        <w:fldChar w:fldCharType="begin"/>
      </w:r>
      <w:r w:rsidR="00CB6D20" w:rsidRPr="00905CB3">
        <w:instrText xml:space="preserve"> ADDIN ZOTERO_ITEM CSL_CITATION {"citationID":"PaBpUETG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 w:rsidR="00CB6D20" w:rsidRPr="00905CB3">
        <w:fldChar w:fldCharType="separate"/>
      </w:r>
      <w:r w:rsidR="00CB6D20" w:rsidRPr="00905CB3">
        <w:t>(5)</w:t>
      </w:r>
      <w:r w:rsidR="00CB6D20" w:rsidRPr="00905CB3">
        <w:fldChar w:fldCharType="end"/>
      </w:r>
      <w:r w:rsidR="00C73840">
        <w:t xml:space="preserve">. </w:t>
      </w:r>
    </w:p>
    <w:p w14:paraId="0C71090C" w14:textId="1FD50E31" w:rsidR="00CB6D20" w:rsidRDefault="00080361" w:rsidP="00905CB3">
      <w:pPr>
        <w:pStyle w:val="a"/>
      </w:pPr>
      <w:r>
        <w:t xml:space="preserve">Эффективность </w:t>
      </w:r>
      <w:r w:rsidRPr="00080361">
        <w:t>препарата Интеленс</w:t>
      </w:r>
      <w:r w:rsidRPr="00080361">
        <w:rPr>
          <w:vertAlign w:val="superscript"/>
        </w:rPr>
        <w:t>®</w:t>
      </w:r>
      <w:r>
        <w:t xml:space="preserve"> у детей </w:t>
      </w:r>
      <w:r w:rsidR="00C73840">
        <w:t>старше 12 лет</w:t>
      </w:r>
      <w:r>
        <w:t xml:space="preserve"> была доказана в ряде клинических исследований. </w:t>
      </w:r>
      <w:r w:rsidR="00523837">
        <w:t>В рамках международного</w:t>
      </w:r>
      <w:r w:rsidR="00D9414A" w:rsidRPr="00D9414A">
        <w:t xml:space="preserve"> многоцентрово</w:t>
      </w:r>
      <w:r w:rsidR="00523837">
        <w:t>го</w:t>
      </w:r>
      <w:r w:rsidR="00D9414A" w:rsidRPr="00D9414A">
        <w:t xml:space="preserve"> клиническо</w:t>
      </w:r>
      <w:r w:rsidR="00523837">
        <w:t>го</w:t>
      </w:r>
      <w:r w:rsidR="00D9414A" w:rsidRPr="00D9414A">
        <w:t xml:space="preserve"> исследовани</w:t>
      </w:r>
      <w:r w:rsidR="00523837">
        <w:t>я</w:t>
      </w:r>
      <w:r w:rsidR="00D9414A" w:rsidRPr="00D9414A">
        <w:t xml:space="preserve"> II фазы PIANO </w:t>
      </w:r>
      <w:r w:rsidR="00523837">
        <w:t>(</w:t>
      </w:r>
      <w:r w:rsidR="00D9414A" w:rsidRPr="00523837">
        <w:rPr>
          <w:i/>
        </w:rPr>
        <w:t>Paediatric study o</w:t>
      </w:r>
      <w:r w:rsidR="00523837" w:rsidRPr="00523837">
        <w:rPr>
          <w:i/>
        </w:rPr>
        <w:t>f Intelence As an NNRTI Option</w:t>
      </w:r>
      <w:r w:rsidR="00523837">
        <w:t xml:space="preserve">, TMC125-C213; NCT00665847) было показано, что назначение </w:t>
      </w:r>
      <w:r w:rsidR="00523837" w:rsidRPr="00523837">
        <w:t>препарат</w:t>
      </w:r>
      <w:r w:rsidR="00523837">
        <w:t>а</w:t>
      </w:r>
      <w:r w:rsidR="00523837" w:rsidRPr="00523837">
        <w:t xml:space="preserve"> Интеленс</w:t>
      </w:r>
      <w:r w:rsidR="00523837" w:rsidRPr="00523837">
        <w:rPr>
          <w:vertAlign w:val="superscript"/>
        </w:rPr>
        <w:t>®</w:t>
      </w:r>
      <w:r w:rsidR="00523837">
        <w:t xml:space="preserve"> (</w:t>
      </w:r>
      <w:r w:rsidR="00523837" w:rsidRPr="00523837">
        <w:t>Этравирин</w:t>
      </w:r>
      <w:r w:rsidR="00523837">
        <w:t xml:space="preserve">) детям </w:t>
      </w:r>
      <w:r w:rsidR="00523837" w:rsidRPr="00D9414A">
        <w:t>с опытом АРТ</w:t>
      </w:r>
      <w:r w:rsidR="00523837">
        <w:t xml:space="preserve"> в </w:t>
      </w:r>
      <w:r w:rsidR="00523837" w:rsidRPr="00D9414A">
        <w:t>возрасте от 6 до 12 лет</w:t>
      </w:r>
      <w:r w:rsidR="00CB6D20">
        <w:t xml:space="preserve"> (</w:t>
      </w:r>
      <w:r w:rsidR="00CB6D20">
        <w:rPr>
          <w:lang w:val="en-US"/>
        </w:rPr>
        <w:t>n</w:t>
      </w:r>
      <w:r w:rsidR="00CB6D20">
        <w:t xml:space="preserve"> = 41) </w:t>
      </w:r>
      <w:r w:rsidR="00523837" w:rsidRPr="00D9414A">
        <w:t>и подро</w:t>
      </w:r>
      <w:r w:rsidR="00523837">
        <w:t xml:space="preserve">стки в возрасте от 12 до 17 лет </w:t>
      </w:r>
      <w:r w:rsidR="00AA7B95">
        <w:t>(</w:t>
      </w:r>
      <w:r w:rsidR="00AA7B95">
        <w:rPr>
          <w:lang w:val="en-US"/>
        </w:rPr>
        <w:t>n</w:t>
      </w:r>
      <w:r w:rsidR="00AA7B95" w:rsidRPr="00AA7B95">
        <w:t xml:space="preserve"> = 60</w:t>
      </w:r>
      <w:r w:rsidR="00AA7B95">
        <w:t xml:space="preserve">) </w:t>
      </w:r>
      <w:r w:rsidR="003F191C">
        <w:t>нарушает репликацию ВИЧ и стабилизирует заболевание</w:t>
      </w:r>
      <w:r w:rsidR="00CB6D20">
        <w:t xml:space="preserve"> </w:t>
      </w:r>
      <w:r w:rsidR="00CB6D20">
        <w:fldChar w:fldCharType="begin"/>
      </w:r>
      <w:r w:rsidR="00CB6D20">
        <w:instrText xml:space="preserve"> ADDIN ZOTERO_ITEM CSL_CITATION {"citationID":"1w1IA1JR","properties":{"formattedCitation":"(6)","plainCitation":"(6)","noteIndex":0},"citationItems":[{"id":10,"uris":["http://zotero.org/users/7777522/items/JV6UX8SG"],"uri":["http://zotero.org/users/7777522/items/JV6UX8SG"],"itemData":{"id":10,"type":"article-journal","abstract":"Objectives PIANO (Paediatric study of Intelence As an NNRTI Option; TMC125-C213; NCT00665847) assessed the safety/tolerability, antiviral activity and pharmacokinetics of etravirine plus an optimized background regimen (OBR) in treatment-experienced, HIV-1-infected children (≥ 6 to &lt; 12 years) and adolescents (≥ 12 to &lt; 18 years) over 48 weeks. Methods In a phase II, open-label, single-arm study, 101 treatment-experienced patients (41 children; 60 adolescents) with screening viral load (VL) ≥ 500 HIV-1 RNA copies/mL received etravirine 5.2 mg/kg (maximum dose 200 mg) twice a day (bid) plus OBR. Results Sixty-seven per cent of patients had previously used efavirenz or nevirapine. At week 48, the most common treatment-related grade ≥ 2 adverse event (AE) was rash (13%); 12% experienced grade 3 AEs. Only two grade 4 AEs occurred (both thrombocytopaenia, not etravirine related). At week 48, 56% of patients (68% children; 48% adolescents) achieved a virological response (VL&lt;50 copies/mL; intent-to-treat, noncompleter=failure). Factors predictive of response were adherence &gt; 95%, male sex, low baseline etravirine weighted genotypic score and high etravirine trough concentration (C0h). Seventy-six patients (75%) completed the trial; most discontinuations occurred because of protocol noncompliance or AEs (8% each). Sixty-five per cent of patients were &gt; 95% adherent by questionnaire and 39% by pill count. Forty-one patients experienced virological failure (VF; time-to-loss-of-virological-response non-VF-censored algorithm) (29 nonresponders; 12 rebounders). Of 30 patients with VF with paired baseline/endpoint genotypes, 18 (60%) developed nonnucleoside reverse transcriptase inhibitor (NNRTI) mutations, most commonly Y181C. Mean etravirine area under the plasma concentration–time curve over 12 h (AUC0–12h; 5216 ng h/mL) and C0h (346 ng/mL) were comparable to adult target values. Conclusions Results with etravirine 5.2 mg/kg bid (with OBR) in this treatment-experienced paediatric population and etravirine 200 mg bid in treatment-experienced adults were comparable. Etravirine is an NNRTI option for treatment-experienced paediatric patients.","container-title":"HIV Medicine","DOI":"https://doi.org/10.1111/hiv.12141","ISSN":"1468-1293","issue":"9","language":"en","note":"_eprint: https://onlinelibrary.wiley.com/doi/pdf/10.1111/hiv.12141","page":"513-524","source":"Wiley Online Library","title":"Etravirine in treatment-experienced, HIV-1-infected children and adolescents: 48-week safety, efficacy and resistance analysis of the phase II PIANO study","title-short":"Etravirine in treatment-experienced, HIV-1-infected children and adolescents","volume":"15","author":[{"family":"Tudor‐Williams","given":"G."},{"family":"Cahn","given":"P."},{"family":"Chokephaibulkit","given":"K."},{"family":"Fourie","given":"J."},{"family":"Karatzios","given":"C."},{"family":"Dincq","given":"S."},{"family":"Opsomer","given":"M."},{"family":"Kakuda","given":"T. N."},{"family":"Nijs","given":"S."},{"family":"Tambuyzer","given":"L."},{"family":"Tomaka","given":"F. L."}],"issued":{"date-parts":[["2014"]]}}}],"schema":"https://github.com/citation-style-language/schema/raw/master/csl-citation.json"} </w:instrText>
      </w:r>
      <w:r w:rsidR="00CB6D20">
        <w:fldChar w:fldCharType="separate"/>
      </w:r>
      <w:r w:rsidR="00CB6D20" w:rsidRPr="00CB6D20">
        <w:t>(6)</w:t>
      </w:r>
      <w:r w:rsidR="00CB6D20">
        <w:fldChar w:fldCharType="end"/>
      </w:r>
      <w:r w:rsidR="003F191C">
        <w:t xml:space="preserve">. </w:t>
      </w:r>
    </w:p>
    <w:p w14:paraId="4B8E3954" w14:textId="2A3A28F4" w:rsidR="00D934BB" w:rsidRDefault="00D934BB" w:rsidP="00AA7B95"/>
    <w:p w14:paraId="3B2BDC44" w14:textId="4808E7D4" w:rsidR="00D934BB" w:rsidRPr="00D934BB" w:rsidRDefault="00D934BB" w:rsidP="00D934BB">
      <w:pPr>
        <w:spacing w:line="240" w:lineRule="auto"/>
        <w:rPr>
          <w:sz w:val="20"/>
        </w:rPr>
      </w:pPr>
      <w:r>
        <w:t>___________________________________________________________________________</w:t>
      </w:r>
      <w:r w:rsidRPr="00D934BB">
        <w:rPr>
          <w:vertAlign w:val="superscript"/>
        </w:rPr>
        <w:t>*</w:t>
      </w:r>
      <w:r w:rsidRPr="00D934BB">
        <w:rPr>
          <w:sz w:val="16"/>
          <w:szCs w:val="16"/>
        </w:rPr>
        <w:t>Пациенты не должны помещать таблетки в апельсиновый сок или молоко без предварительного растворения в воде. Следует избегать использования теплой (больше 40 °С) воды и газированных напитков.</w:t>
      </w:r>
    </w:p>
    <w:p w14:paraId="55B27B2A" w14:textId="77777777" w:rsidR="00D934BB" w:rsidRDefault="00D934BB" w:rsidP="00AA7B95">
      <w:pPr>
        <w:rPr>
          <w:rFonts w:eastAsia="Times New Roman" w:cs="Times New Roman"/>
        </w:rPr>
      </w:pPr>
    </w:p>
    <w:p w14:paraId="48FB57D1" w14:textId="6D64BD79" w:rsidR="00D934BB" w:rsidRDefault="00D934BB" w:rsidP="00AA7B95">
      <w:pPr>
        <w:rPr>
          <w:rFonts w:eastAsia="Times New Roman" w:cs="Times New Roman"/>
        </w:rPr>
      </w:pPr>
    </w:p>
    <w:p w14:paraId="56769F95" w14:textId="77777777" w:rsidR="00D934BB" w:rsidRDefault="00D934BB" w:rsidP="00D934BB">
      <w:pPr>
        <w:rPr>
          <w:rFonts w:eastAsia="Times New Roman" w:cs="Times New Roman"/>
        </w:rPr>
      </w:pPr>
      <w:r>
        <w:t>Как следует из Рисунка</w:t>
      </w:r>
      <w:r>
        <w:fldChar w:fldCharType="begin"/>
      </w:r>
      <w:r>
        <w:instrText xml:space="preserve"> REF ris_1 \h </w:instrText>
      </w:r>
      <w:r>
        <w:fldChar w:fldCharType="separate"/>
      </w:r>
      <w:r>
        <w:t xml:space="preserve"> </w:t>
      </w:r>
      <w:r>
        <w:rPr>
          <w:noProof/>
        </w:rPr>
        <w:t>1</w:t>
      </w:r>
      <w:r>
        <w:fldChar w:fldCharType="end"/>
      </w:r>
      <w:r>
        <w:t>,</w:t>
      </w:r>
      <w:r w:rsidRPr="00AA7B9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к </w:t>
      </w:r>
      <w:r w:rsidRPr="00AA7B95">
        <w:rPr>
          <w:rFonts w:eastAsia="Times New Roman" w:cs="Times New Roman"/>
        </w:rPr>
        <w:t>моменту завершения исследования вирусологическая эффективность была достигнута у 56,4% когорты, составив 68,3% у детей и 48,3% подростков</w:t>
      </w:r>
      <w:r>
        <w:rPr>
          <w:rFonts w:eastAsia="Times New Roman" w:cs="Times New Roman"/>
        </w:rPr>
        <w:t xml:space="preserve">. </w:t>
      </w:r>
      <w:r w:rsidRPr="003C11AF">
        <w:rPr>
          <w:rFonts w:eastAsia="Times New Roman" w:cs="Times New Roman"/>
        </w:rPr>
        <w:t>На протяжение всего исследования отмечался прирост абсолютного количества CD4</w:t>
      </w:r>
      <w:r>
        <w:rPr>
          <w:rFonts w:eastAsia="Times New Roman" w:cs="Times New Roman"/>
        </w:rPr>
        <w:t>-клеток по сравнению с исходным (+156 кл/мкл в целом;</w:t>
      </w:r>
      <w:r w:rsidRPr="003C11AF">
        <w:rPr>
          <w:rFonts w:eastAsia="Times New Roman" w:cs="Times New Roman"/>
        </w:rPr>
        <w:t xml:space="preserve"> +178 кл/мкл у детей</w:t>
      </w:r>
      <w:r>
        <w:rPr>
          <w:rFonts w:eastAsia="Times New Roman" w:cs="Times New Roman"/>
        </w:rPr>
        <w:t>;</w:t>
      </w:r>
      <w:r w:rsidRPr="003C11AF">
        <w:rPr>
          <w:rFonts w:eastAsia="Times New Roman" w:cs="Times New Roman"/>
        </w:rPr>
        <w:t xml:space="preserve"> +141 кл/мкл у подростков</w:t>
      </w:r>
      <w:r>
        <w:rPr>
          <w:rFonts w:eastAsia="Times New Roman" w:cs="Times New Roman"/>
        </w:rPr>
        <w:t>, р</w:t>
      </w:r>
      <w:r w:rsidRPr="003C11AF">
        <w:rPr>
          <w:rFonts w:eastAsia="Times New Roman" w:cs="Times New Roman"/>
        </w:rPr>
        <w:t xml:space="preserve"> &lt;0,0001</w:t>
      </w:r>
      <w:r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ADDIN ZOTERO_ITEM CSL_CITATION {"citationID":"M0sh9giS","properties":{"formattedCitation":"(6)","plainCitation":"(6)","noteIndex":0},"citationItems":[{"id":10,"uris":["http://zotero.org/users/7777522/items/JV6UX8SG"],"uri":["http://zotero.org/users/7777522/items/JV6UX8SG"],"itemData":{"id":10,"type":"article-journal","abstract":"Objectives PIANO (Paediatric study of Intelence As an NNRTI Option; TMC125-C213; NCT00665847) assessed the safety/tolerability, antiviral activity and pharmacokinetics of etravirine plus an optimized background regimen (OBR) in treatment-experienced, HIV-1-infected children (≥ 6 to &lt; 12 years) and adolescents (≥ 12 to &lt; 18 years) over 48 weeks. Methods In a phase II, open-label, single-arm study, 101 treatment-experienced patients (41 children; 60 adolescents) with screening viral load (VL) ≥ 500 HIV-1 RNA copies/mL received etravirine 5.2 mg/kg (maximum dose 200 mg) twice a day (bid) plus OBR. Results Sixty-seven per cent of patients had previously used efavirenz or nevirapine. At week 48, the most common treatment-related grade ≥ 2 adverse event (AE) was rash (13%); 12% experienced grade 3 AEs. Only two grade 4 AEs occurred (both thrombocytopaenia, not etravirine related). At week 48, 56% of patients (68% children; 48% adolescents) achieved a virological response (VL&lt;50 copies/mL; intent-to-treat, noncompleter=failure). Factors predictive of response were adherence &gt; 95%, male sex, low baseline etravirine weighted genotypic score and high etravirine trough concentration (C0h). Seventy-six patients (75%) completed the trial; most discontinuations occurred because of protocol noncompliance or AEs (8% each). Sixty-five per cent of patients were &gt; 95% adherent by questionnaire and 39% by pill count. Forty-one patients experienced virological failure (VF; time-to-loss-of-virological-response non-VF-censored algorithm) (29 nonresponders; 12 rebounders). Of 30 patients with VF with paired baseline/endpoint genotypes, 18 (60%) developed nonnucleoside reverse transcriptase inhibitor (NNRTI) mutations, most commonly Y181C. Mean etravirine area under the plasma concentration–time curve over 12 h (AUC0–12h; 5216 ng h/mL) and C0h (346 ng/mL) were comparable to adult target values. Conclusions Results with etravirine 5.2 mg/kg bid (with OBR) in this treatment-experienced paediatric population and etravirine 200 mg bid in treatment-experienced adults were comparable. Etravirine is an NNRTI option for treatment-experienced paediatric patients.","container-title":"HIV Medicine","DOI":"https://doi.org/10.1111/hiv.12141","ISSN":"1468-1293","issue":"9","language":"en","note":"_eprint: https://onlinelibrary.wiley.com/doi/pdf/10.1111/hiv.12141","page":"513-524","source":"Wiley Online Library","title":"Etravirine in treatment-experienced, HIV-1-infected children and adolescents: 48-week safety, efficacy and resistance analysis of the phase II PIANO study","title-short":"Etravirine in treatment-experienced, HIV-1-infected children and adolescents","volume":"15","author":[{"family":"Tudor‐Williams","given":"G."},{"family":"Cahn","given":"P."},{"family":"Chokephaibulkit","given":"K."},{"family":"Fourie","given":"J."},{"family":"Karatzios","given":"C."},{"family":"Dincq","given":"S."},{"family":"Opsomer","given":"M."},{"family":"Kakuda","given":"T. N."},{"family":"Nijs","given":"S."},{"family":"Tambuyzer","given":"L."},{"family":"Tomaka","given":"F. L."}],"issued":{"date-parts":[["2014"]]}}}],"schema":"https://github.com/citation-style-language/schema/raw/master/csl-citation.json"} </w:instrText>
      </w:r>
      <w:r>
        <w:rPr>
          <w:rFonts w:eastAsia="Times New Roman" w:cs="Times New Roman"/>
        </w:rPr>
        <w:fldChar w:fldCharType="separate"/>
      </w:r>
      <w:r w:rsidRPr="00C76B1F">
        <w:rPr>
          <w:rFonts w:cs="Times New Roman"/>
        </w:rPr>
        <w:t>(6)</w:t>
      </w:r>
      <w:r>
        <w:rPr>
          <w:rFonts w:eastAsia="Times New Roman" w:cs="Times New Roman"/>
        </w:rPr>
        <w:fldChar w:fldCharType="end"/>
      </w:r>
      <w:r w:rsidRPr="00AA7B95">
        <w:rPr>
          <w:rFonts w:eastAsia="Times New Roman" w:cs="Times New Roman"/>
        </w:rPr>
        <w:t>.</w:t>
      </w:r>
    </w:p>
    <w:p w14:paraId="4CC5AEE9" w14:textId="77777777" w:rsidR="00D934BB" w:rsidRPr="00AA7B95" w:rsidRDefault="00D934BB" w:rsidP="00AA7B95">
      <w:pPr>
        <w:rPr>
          <w:rFonts w:eastAsia="Times New Roman" w:cs="Times New Roman"/>
        </w:rPr>
      </w:pPr>
    </w:p>
    <w:p w14:paraId="62223B1E" w14:textId="55D87214" w:rsidR="003F191C" w:rsidRDefault="003F191C" w:rsidP="003F191C">
      <w:pPr>
        <w:pStyle w:val="a"/>
        <w:jc w:val="center"/>
      </w:pPr>
      <w:r>
        <w:rPr>
          <w:noProof/>
        </w:rPr>
        <w:drawing>
          <wp:inline distT="0" distB="0" distL="0" distR="0" wp14:anchorId="03AB1814" wp14:editId="134B967A">
            <wp:extent cx="4511675" cy="27736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2D72C" w14:textId="3B589571" w:rsidR="003F191C" w:rsidRDefault="00AA7B95" w:rsidP="00AA7B95">
      <w:pPr>
        <w:pStyle w:val="Caption"/>
      </w:pPr>
      <w:r>
        <w:t>Рисунок</w:t>
      </w:r>
      <w:bookmarkStart w:id="6" w:name="ris_1"/>
      <w:r>
        <w:t xml:space="preserve"> </w:t>
      </w:r>
      <w:fldSimple w:instr=" SEQ Рисунок \* ARABIC ">
        <w:r w:rsidR="006100D5">
          <w:rPr>
            <w:noProof/>
          </w:rPr>
          <w:t>1</w:t>
        </w:r>
      </w:fldSimple>
      <w:bookmarkEnd w:id="6"/>
      <w:r>
        <w:t xml:space="preserve">. Вирусологическая эффективность </w:t>
      </w:r>
      <w:r w:rsidRPr="00AA7B95">
        <w:t>препарата Интеленс</w:t>
      </w:r>
      <w:r w:rsidRPr="00AA7B95">
        <w:rPr>
          <w:vertAlign w:val="superscript"/>
        </w:rPr>
        <w:t>®</w:t>
      </w:r>
      <w:r w:rsidRPr="00AA7B95">
        <w:t xml:space="preserve"> (Этравирин)</w:t>
      </w:r>
      <w:r>
        <w:t xml:space="preserve"> у детей с 12 лет (адаптировано из</w:t>
      </w:r>
      <w:r w:rsidR="00C4732A">
        <w:t xml:space="preserve"> </w:t>
      </w:r>
      <w:r w:rsidR="00C4732A">
        <w:fldChar w:fldCharType="begin"/>
      </w:r>
      <w:r w:rsidR="00C76B1F">
        <w:instrText xml:space="preserve"> ADDIN ZOTERO_ITEM CSL_CITATION {"citationID":"Ua9HYRNE","properties":{"formattedCitation":"(6)","plainCitation":"(6)","noteIndex":0},"citationItems":[{"id":10,"uris":["http://zotero.org/users/7777522/items/JV6UX8SG"],"uri":["http://zotero.org/users/7777522/items/JV6UX8SG"],"itemData":{"id":10,"type":"article-journal","abstract":"Objectives PIANO (Paediatric study of Intelence As an NNRTI Option; TMC125-C213; NCT00665847) assessed the safety/tolerability, antiviral activity and pharmacokinetics of etravirine plus an optimized background regimen (OBR) in treatment-experienced, HIV-1-infected children (≥ 6 to &lt; 12 years) and adolescents (≥ 12 to &lt; 18 years) over 48 weeks. Methods In a phase II, open-label, single-arm study, 101 treatment-experienced patients (41 children; 60 adolescents) with screening viral load (VL) ≥ 500 HIV-1 RNA copies/mL received etravirine 5.2 mg/kg (maximum dose 200 mg) twice a day (bid) plus OBR. Results Sixty-seven per cent of patients had previously used efavirenz or nevirapine. At week 48, the most common treatment-related grade ≥ 2 adverse event (AE) was rash (13%); 12% experienced grade 3 AEs. Only two grade 4 AEs occurred (both thrombocytopaenia, not etravirine related). At week 48, 56% of patients (68% children; 48% adolescents) achieved a virological response (VL&lt;50 copies/mL; intent-to-treat, noncompleter=failure). Factors predictive of response were adherence &gt; 95%, male sex, low baseline etravirine weighted genotypic score and high etravirine trough concentration (C0h). Seventy-six patients (75%) completed the trial; most discontinuations occurred because of protocol noncompliance or AEs (8% each). Sixty-five per cent of patients were &gt; 95% adherent by questionnaire and 39% by pill count. Forty-one patients experienced virological failure (VF; time-to-loss-of-virological-response non-VF-censored algorithm) (29 nonresponders; 12 rebounders). Of 30 patients with VF with paired baseline/endpoint genotypes, 18 (60%) developed nonnucleoside reverse transcriptase inhibitor (NNRTI) mutations, most commonly Y181C. Mean etravirine area under the plasma concentration–time curve over 12 h (AUC0–12h; 5216 ng h/mL) and C0h (346 ng/mL) were comparable to adult target values. Conclusions Results with etravirine 5.2 mg/kg bid (with OBR) in this treatment-experienced paediatric population and etravirine 200 mg bid in treatment-experienced adults were comparable. Etravirine is an NNRTI option for treatment-experienced paediatric patients.","container-title":"HIV Medicine","DOI":"https://doi.org/10.1111/hiv.12141","ISSN":"1468-1293","issue":"9","language":"en","note":"_eprint: https://onlinelibrary.wiley.com/doi/pdf/10.1111/hiv.12141","page":"513-524","source":"Wiley Online Library","title":"Etravirine in treatment-experienced, HIV-1-infected children and adolescents: 48-week safety, efficacy and resistance analysis of the phase II PIANO study","title-short":"Etravirine in treatment-experienced, HIV-1-infected children and adolescents","volume":"15","author":[{"family":"Tudor‐Williams","given":"G."},{"family":"Cahn","given":"P."},{"family":"Chokephaibulkit","given":"K."},{"family":"Fourie","given":"J."},{"family":"Karatzios","given":"C."},{"family":"Dincq","given":"S."},{"family":"Opsomer","given":"M."},{"family":"Kakuda","given":"T. N."},{"family":"Nijs","given":"S."},{"family":"Tambuyzer","given":"L."},{"family":"Tomaka","given":"F. L."}],"issued":{"date-parts":[["2014"]]}}}],"schema":"https://github.com/citation-style-language/schema/raw/master/csl-citation.json"} </w:instrText>
      </w:r>
      <w:r w:rsidR="00C4732A">
        <w:fldChar w:fldCharType="separate"/>
      </w:r>
      <w:r w:rsidR="00C76B1F" w:rsidRPr="00C76B1F">
        <w:t>(6)</w:t>
      </w:r>
      <w:r w:rsidR="00C4732A">
        <w:fldChar w:fldCharType="end"/>
      </w:r>
      <w:r>
        <w:t>)</w:t>
      </w:r>
    </w:p>
    <w:p w14:paraId="0AE37030" w14:textId="58F91857" w:rsidR="00F37DFB" w:rsidRPr="00EF0822" w:rsidRDefault="00F37DFB" w:rsidP="00E430FC">
      <w:pPr>
        <w:pStyle w:val="Heading2"/>
      </w:pPr>
      <w:bookmarkStart w:id="7" w:name="_Toc68213883"/>
      <w:r w:rsidRPr="00EF0822">
        <w:t>Профиль безопасности</w:t>
      </w:r>
      <w:bookmarkEnd w:id="7"/>
    </w:p>
    <w:p w14:paraId="69F3BCB8" w14:textId="1D67E807" w:rsidR="001961DC" w:rsidRPr="001961DC" w:rsidRDefault="001961DC" w:rsidP="001961DC">
      <w:pPr>
        <w:pStyle w:val="a"/>
      </w:pPr>
      <w:r w:rsidRPr="001961DC">
        <w:t xml:space="preserve">Одним из ключевых критериев безопасности применения АРП в педиатрической популяции являются клинически доказанные стабильные показатели фармакокинетики </w:t>
      </w:r>
      <w:r w:rsidR="00CB6D20">
        <w:t xml:space="preserve">(ФК) </w:t>
      </w:r>
      <w:r w:rsidRPr="001961DC">
        <w:t>лекарственного средства у детей соответствующих возрастных групп.</w:t>
      </w:r>
    </w:p>
    <w:p w14:paraId="3B177EEC" w14:textId="64495B33" w:rsidR="00DB1A16" w:rsidRPr="00DB1A16" w:rsidRDefault="001961DC" w:rsidP="00DB1A16">
      <w:pPr>
        <w:pStyle w:val="a"/>
      </w:pPr>
      <w:r w:rsidRPr="001961DC">
        <w:t>Ф</w:t>
      </w:r>
      <w:r w:rsidR="00CB6D20">
        <w:t>К</w:t>
      </w:r>
      <w:r w:rsidRPr="001961DC">
        <w:t xml:space="preserve"> </w:t>
      </w:r>
      <w:r w:rsidR="00CB6D20" w:rsidRPr="00CB6D20">
        <w:t>препарата Интеленс</w:t>
      </w:r>
      <w:r w:rsidR="00CB6D20" w:rsidRPr="00CB6D20">
        <w:rPr>
          <w:vertAlign w:val="superscript"/>
        </w:rPr>
        <w:t>®</w:t>
      </w:r>
      <w:r w:rsidR="00CB6D20" w:rsidRPr="00CB6D20">
        <w:t xml:space="preserve"> (Этравирин</w:t>
      </w:r>
      <w:r w:rsidR="00CB6D20">
        <w:t>)</w:t>
      </w:r>
      <w:r w:rsidRPr="001961DC">
        <w:t xml:space="preserve"> у ВИЧ-1-инфицированных детей и подростков была изучена в рамках открытого нерандомизированного двухэтапного клинического исследования.</w:t>
      </w:r>
      <w:r w:rsidR="00DB1A16">
        <w:t xml:space="preserve"> Дети с опытом АРТ в рамках исследования были стратифицированы на две возрастные группы: </w:t>
      </w:r>
      <w:r w:rsidR="00DB1A16" w:rsidRPr="00DB1A16">
        <w:t xml:space="preserve">от 6 до 12 лет и </w:t>
      </w:r>
      <w:r w:rsidR="00DB1A16">
        <w:t>от 12 до 17 лет. На первом этапе исследования было применено аллометрическое масштабирование дозы для взрослых, и детям назначали препарат по 4 мг/кг два раза в день (</w:t>
      </w:r>
      <w:r w:rsidR="00DB1A16">
        <w:rPr>
          <w:lang w:val="en-US"/>
        </w:rPr>
        <w:t>n</w:t>
      </w:r>
      <w:r w:rsidR="00DB1A16" w:rsidRPr="00DB1A16">
        <w:t xml:space="preserve"> = 20</w:t>
      </w:r>
      <w:r w:rsidR="00DB1A16">
        <w:t>).</w:t>
      </w:r>
      <w:r w:rsidR="00DB1A16" w:rsidRPr="00DB1A16">
        <w:t xml:space="preserve"> </w:t>
      </w:r>
      <w:r w:rsidR="00DB1A16">
        <w:t xml:space="preserve">Для этапа II доза была произвольно установлена </w:t>
      </w:r>
      <w:r w:rsidR="00CB6D20">
        <w:t xml:space="preserve">доза </w:t>
      </w:r>
      <w:r w:rsidR="00DB1A16">
        <w:t>на 30% выше, чем для этапа I</w:t>
      </w:r>
      <w:r w:rsidR="00CB6D20">
        <w:t>:</w:t>
      </w:r>
      <w:r w:rsidR="00DB1A16">
        <w:t xml:space="preserve"> 5,2 мг/кг два раза в день </w:t>
      </w:r>
      <w:r w:rsidR="00DB1A16" w:rsidRPr="00DB1A16">
        <w:t>(</w:t>
      </w:r>
      <w:r w:rsidR="00DB1A16" w:rsidRPr="00DB1A16">
        <w:rPr>
          <w:lang w:val="en-US"/>
        </w:rPr>
        <w:t>n</w:t>
      </w:r>
      <w:r w:rsidR="00DB1A16" w:rsidRPr="00DB1A16">
        <w:t xml:space="preserve"> = </w:t>
      </w:r>
      <w:r w:rsidR="00DB1A16">
        <w:t>21</w:t>
      </w:r>
      <w:r w:rsidR="00DB1A16" w:rsidRPr="00DB1A16">
        <w:t>)</w:t>
      </w:r>
      <w:r w:rsidR="00D66422">
        <w:t xml:space="preserve"> </w:t>
      </w:r>
      <w:r w:rsidR="00D66422">
        <w:fldChar w:fldCharType="begin"/>
      </w:r>
      <w:r w:rsidR="00C76B1F">
        <w:instrText xml:space="preserve"> ADDIN ZOTERO_ITEM CSL_CITATION {"citationID":"QNVyNJY4","properties":{"formattedCitation":"(7)","plainCitation":"(7)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}],"schema":"https://github.com/citation-style-language/schema/raw/master/csl-citation.json"} </w:instrText>
      </w:r>
      <w:r w:rsidR="00D66422">
        <w:fldChar w:fldCharType="separate"/>
      </w:r>
      <w:r w:rsidR="00C76B1F" w:rsidRPr="00C76B1F">
        <w:t>(7)</w:t>
      </w:r>
      <w:r w:rsidR="00D66422">
        <w:fldChar w:fldCharType="end"/>
      </w:r>
      <w:r w:rsidR="00DB1A16" w:rsidRPr="00DB1A16">
        <w:t>.</w:t>
      </w:r>
    </w:p>
    <w:p w14:paraId="1F458248" w14:textId="6D3C942F" w:rsidR="00AF77BB" w:rsidRDefault="00F4174B" w:rsidP="007311E0">
      <w:pPr>
        <w:pStyle w:val="a"/>
      </w:pPr>
      <w:r>
        <w:t>П</w:t>
      </w:r>
      <w:r w:rsidRPr="00F4174B">
        <w:t>репарат Интеленс</w:t>
      </w:r>
      <w:r w:rsidRPr="00F4174B">
        <w:rPr>
          <w:vertAlign w:val="superscript"/>
        </w:rPr>
        <w:t>®</w:t>
      </w:r>
      <w:r w:rsidRPr="00F4174B">
        <w:t xml:space="preserve"> (Этравирин)</w:t>
      </w:r>
      <w:r>
        <w:t xml:space="preserve"> назначался на фоне базовой АРТ в виде таблеток по 25 мг и 100 мг каждые 12 часов (в течение 10 минут после еды, 7 дней)</w:t>
      </w:r>
      <w:r w:rsidR="00D66422">
        <w:t xml:space="preserve"> </w:t>
      </w:r>
      <w:r w:rsidR="006E177C">
        <w:fldChar w:fldCharType="begin"/>
      </w:r>
      <w:r w:rsidR="00C76B1F">
        <w:instrText xml:space="preserve"> ADDIN ZOTERO_ITEM CSL_CITATION {"citationID":"0UQpVVfU","properties":{"formattedCitation":"(7)","plainCitation":"(7)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}],"schema":"https://github.com/citation-style-language/schema/raw/master/csl-citation.json"} </w:instrText>
      </w:r>
      <w:r w:rsidR="006E177C">
        <w:fldChar w:fldCharType="separate"/>
      </w:r>
      <w:r w:rsidR="00C76B1F" w:rsidRPr="00C76B1F">
        <w:t>(7)</w:t>
      </w:r>
      <w:r w:rsidR="006E177C">
        <w:fldChar w:fldCharType="end"/>
      </w:r>
      <w:r w:rsidR="00D66422">
        <w:t>.</w:t>
      </w:r>
    </w:p>
    <w:p w14:paraId="0245B9B5" w14:textId="5F6AD0C2" w:rsidR="006100D5" w:rsidRDefault="006100D5" w:rsidP="007311E0">
      <w:pPr>
        <w:pStyle w:val="a"/>
      </w:pPr>
      <w:r>
        <w:t xml:space="preserve">Приведенные на Рисунке </w:t>
      </w:r>
      <w:r>
        <w:fldChar w:fldCharType="begin"/>
      </w:r>
      <w:r>
        <w:instrText xml:space="preserve"> REF ris_2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результаты </w:t>
      </w:r>
      <w:r w:rsidR="00CB6D20">
        <w:t>ФК</w:t>
      </w:r>
      <w:r>
        <w:t xml:space="preserve"> </w:t>
      </w:r>
      <w:r w:rsidR="009B1F81">
        <w:t>исследований</w:t>
      </w:r>
      <w:r>
        <w:t xml:space="preserve"> </w:t>
      </w:r>
      <w:r w:rsidR="00F97DBB" w:rsidRPr="006100D5">
        <w:t>продемонстрировали стабильные терапевтические концентрации активного со</w:t>
      </w:r>
      <w:r w:rsidR="00F97DBB">
        <w:t xml:space="preserve">единения в плазме крови детей, </w:t>
      </w:r>
      <w:r w:rsidR="00F97DBB" w:rsidRPr="006100D5">
        <w:lastRenderedPageBreak/>
        <w:t>сопоставимые со значениями во взрослой популяции ВИЧ-инфицированных пациентов</w:t>
      </w:r>
      <w:r w:rsidR="00F97DBB">
        <w:t xml:space="preserve"> </w:t>
      </w:r>
      <w:r w:rsidR="00F97DBB">
        <w:fldChar w:fldCharType="begin"/>
      </w:r>
      <w:r w:rsidR="0084328C">
        <w:instrText xml:space="preserve"> ADDIN ZOTERO_ITEM CSL_CITATION {"citationID":"hSk4BNiR","properties":{"formattedCitation":"(7,8)","plainCitation":"(7,8)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,"label":"page"},{"id":15,"uris":["http://zotero.org/users/7777522/items/WE9TQP7G"],"uri":["http://zotero.org/users/7777522/items/WE9TQP7G"],"itemData":{"id":15,"type":"article-journal","abstract":"Data on the combination of darunavir/ritonavir and etravirine both given twice daily in adolescents/young adults are lacking. In this study, we assessed the pharmacokinetics of darunavir/ritonavir 600/100 mg with etravirine 200 mg twice daily in 36 treatment-experienced human immunodeficiency virus-infected adolescents and young adults and found that exposures were comparable to those reported in adults.","container-title":"Journal of the Pediatric Infectious Diseases Society","DOI":"10.1093/jpids/piw017","ISSN":"2048-7207","issue":"3","journalAbbreviation":"J Pediatric Infect Dis Soc","language":"eng","note":"PMID: 27103489\nPMCID: PMC5907875","page":"294-296","source":"PubMed","title":"Pharmacokinetics of Darunavir/Ritonavir With Etravirine Both Twice Daily in Human Immunodeficiency Virus-Infected Adolescents and Young Adults","volume":"6","author":[{"family":"Cressey","given":"Tim R."},{"family":"Yogev","given":"Ram"},{"family":"Wiznia","given":"Andrew"},{"family":"Hazra","given":"Rohan"},{"family":"Jean-Philippe","given":"Patrick"},{"family":"Graham","given":"Bobbie"},{"family":"Gonzalez","given":"Amy"},{"family":"Britto","given":"Paula"},{"family":"Carey","given":"Vincent J."},{"family":"Fletcher","given":"Courtney V."},{"family":"Acosta","given":"Edward P."},{"literal":"IMPAACT P1058A Team"}],"issued":{"date-parts":[["2017",9,1]]}},"label":"page"}],"schema":"https://github.com/citation-style-language/schema/raw/master/csl-citation.json"} </w:instrText>
      </w:r>
      <w:r w:rsidR="00F97DBB">
        <w:fldChar w:fldCharType="separate"/>
      </w:r>
      <w:r w:rsidR="0084328C" w:rsidRPr="0084328C">
        <w:t>(7,8)</w:t>
      </w:r>
      <w:r w:rsidR="00F97DBB">
        <w:fldChar w:fldCharType="end"/>
      </w:r>
      <w:r w:rsidR="00F97DBB" w:rsidRPr="006100D5">
        <w:t>.</w:t>
      </w:r>
    </w:p>
    <w:p w14:paraId="5DD1953F" w14:textId="7926AC67" w:rsidR="00AB5882" w:rsidRDefault="00AB5882" w:rsidP="007311E0">
      <w:pPr>
        <w:pStyle w:val="a"/>
      </w:pPr>
      <w:r>
        <w:t>У</w:t>
      </w:r>
      <w:r w:rsidRPr="00AB5882">
        <w:t xml:space="preserve"> ВИЧ-инфицированных детей в возрасте от </w:t>
      </w:r>
      <w:r>
        <w:t>2</w:t>
      </w:r>
      <w:r w:rsidRPr="00AB5882">
        <w:t xml:space="preserve"> до 6 лет</w:t>
      </w:r>
      <w:r>
        <w:t xml:space="preserve"> параметры ФК также были стабильными, определяя расширение показаний для </w:t>
      </w:r>
      <w:r w:rsidRPr="00AB5882">
        <w:t>препарат</w:t>
      </w:r>
      <w:r>
        <w:t>а</w:t>
      </w:r>
      <w:r w:rsidRPr="00AB5882">
        <w:t xml:space="preserve"> Интеленс</w:t>
      </w:r>
      <w:r w:rsidRPr="00AB5882">
        <w:rPr>
          <w:vertAlign w:val="superscript"/>
        </w:rPr>
        <w:t>®</w:t>
      </w:r>
      <w:r w:rsidRPr="00AB5882">
        <w:t xml:space="preserve"> (Этравирин)</w:t>
      </w:r>
      <w:r>
        <w:t xml:space="preserve"> с учетом данной возрастной группы </w:t>
      </w:r>
      <w:r>
        <w:fldChar w:fldCharType="begin"/>
      </w:r>
      <w:r w:rsidR="00C76B1F">
        <w:instrText xml:space="preserve"> ADDIN ZOTERO_ITEM CSL_CITATION {"citationID":"kg6TJEeo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>
        <w:fldChar w:fldCharType="separate"/>
      </w:r>
      <w:r w:rsidR="00C76B1F" w:rsidRPr="00C76B1F">
        <w:t>(5)</w:t>
      </w:r>
      <w:r>
        <w:fldChar w:fldCharType="end"/>
      </w:r>
      <w:r>
        <w:t xml:space="preserve">. </w:t>
      </w:r>
    </w:p>
    <w:p w14:paraId="47F2150B" w14:textId="13B8BC99" w:rsidR="006100D5" w:rsidRDefault="00F97DBB" w:rsidP="00F97DBB">
      <w:pPr>
        <w:pStyle w:val="a"/>
        <w:jc w:val="center"/>
      </w:pPr>
      <w:r>
        <w:rPr>
          <w:noProof/>
        </w:rPr>
        <w:drawing>
          <wp:inline distT="0" distB="0" distL="0" distR="0" wp14:anchorId="216219F9" wp14:editId="7CD8B81A">
            <wp:extent cx="4384919" cy="266072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39" cy="266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FFF53" w14:textId="5D3C8E15" w:rsidR="00D66422" w:rsidRDefault="006100D5" w:rsidP="006100D5">
      <w:pPr>
        <w:pStyle w:val="Caption"/>
      </w:pPr>
      <w:r>
        <w:t xml:space="preserve">Рисунок </w:t>
      </w:r>
      <w:bookmarkStart w:id="8" w:name="ris_2"/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8"/>
      <w:r>
        <w:t xml:space="preserve">. </w:t>
      </w:r>
      <w:r w:rsidR="00F97DBB" w:rsidRPr="00F97DBB">
        <w:t>Исследования фармакокинетики этравирина у ВИЧ-1-инфицированных детей и подростков с опытом лечения</w:t>
      </w:r>
      <w:r w:rsidR="00F97DBB">
        <w:t xml:space="preserve"> (адаптировано из </w:t>
      </w:r>
      <w:r w:rsidR="00F97DBB">
        <w:fldChar w:fldCharType="begin"/>
      </w:r>
      <w:r w:rsidR="00C76B1F">
        <w:instrText xml:space="preserve"> ADDIN ZOTERO_ITEM CSL_CITATION {"citationID":"muYl63ta","properties":{"formattedCitation":"(7)","plainCitation":"(7)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}],"schema":"https://github.com/citation-style-language/schema/raw/master/csl-citation.json"} </w:instrText>
      </w:r>
      <w:r w:rsidR="00F97DBB">
        <w:fldChar w:fldCharType="separate"/>
      </w:r>
      <w:r w:rsidR="00C76B1F" w:rsidRPr="00C76B1F">
        <w:t>(7)</w:t>
      </w:r>
      <w:r w:rsidR="00F97DBB">
        <w:fldChar w:fldCharType="end"/>
      </w:r>
      <w:r w:rsidR="00F97DBB">
        <w:t>)</w:t>
      </w:r>
    </w:p>
    <w:p w14:paraId="3E331561" w14:textId="77777777" w:rsidR="00D66422" w:rsidRDefault="00D66422" w:rsidP="007311E0">
      <w:pPr>
        <w:pStyle w:val="a"/>
      </w:pPr>
    </w:p>
    <w:p w14:paraId="61735639" w14:textId="2A705BDA" w:rsidR="00AB5882" w:rsidRDefault="00711B9C" w:rsidP="00711B9C">
      <w:pPr>
        <w:pStyle w:val="a"/>
      </w:pPr>
      <w:r w:rsidRPr="00711B9C">
        <w:t>Благоприятный профиль безопасности</w:t>
      </w:r>
      <w:r w:rsidRPr="00711B9C">
        <w:rPr>
          <w:rFonts w:eastAsiaTheme="minorEastAsia" w:cstheme="minorBidi"/>
        </w:rPr>
        <w:t xml:space="preserve"> </w:t>
      </w:r>
      <w:r w:rsidRPr="00711B9C">
        <w:t>препарат</w:t>
      </w:r>
      <w:r>
        <w:t>а</w:t>
      </w:r>
      <w:r w:rsidRPr="00711B9C">
        <w:t xml:space="preserve"> Интеленс</w:t>
      </w:r>
      <w:r w:rsidRPr="00711B9C">
        <w:rPr>
          <w:vertAlign w:val="superscript"/>
        </w:rPr>
        <w:t>®</w:t>
      </w:r>
      <w:r w:rsidRPr="00711B9C">
        <w:t xml:space="preserve"> (Этравирин)</w:t>
      </w:r>
      <w:r>
        <w:t xml:space="preserve"> у ВИЧ-инфицированных детей и подростков, начиная с 12 дет, был продемонстрирован в </w:t>
      </w:r>
      <w:r w:rsidRPr="00711B9C">
        <w:t>исследовании PIANO II фазы.</w:t>
      </w:r>
      <w:r>
        <w:t xml:space="preserve"> Доли нежелательных явлений (НЯ), </w:t>
      </w:r>
      <w:r w:rsidR="00692787">
        <w:t xml:space="preserve">имевшие высокую степень связи с применением </w:t>
      </w:r>
      <w:r w:rsidR="00692787" w:rsidRPr="00692787">
        <w:t>препарата Интеленс</w:t>
      </w:r>
      <w:r w:rsidR="00692787" w:rsidRPr="00692787">
        <w:rPr>
          <w:vertAlign w:val="superscript"/>
        </w:rPr>
        <w:t>®</w:t>
      </w:r>
      <w:r w:rsidR="00692787" w:rsidRPr="00692787">
        <w:t xml:space="preserve"> (Этравирин)</w:t>
      </w:r>
      <w:r w:rsidR="00692787">
        <w:t>, составили 2,4% и 3,3% соответственно для детей (6</w:t>
      </w:r>
      <w:r w:rsidR="00CB6D20">
        <w:t xml:space="preserve"> -</w:t>
      </w:r>
      <w:r w:rsidR="00692787">
        <w:t xml:space="preserve"> </w:t>
      </w:r>
      <w:r w:rsidR="00692787" w:rsidRPr="00692787">
        <w:t>12 лет</w:t>
      </w:r>
      <w:r w:rsidR="00692787">
        <w:t xml:space="preserve">) и подростков (12 – 17 лет). </w:t>
      </w:r>
      <w:r w:rsidR="00AB5882">
        <w:t xml:space="preserve">Возможную связь с АРТ диагностировали у </w:t>
      </w:r>
      <w:r w:rsidR="00AB5882" w:rsidRPr="00711B9C">
        <w:t xml:space="preserve">22% </w:t>
      </w:r>
      <w:r w:rsidR="00AB5882">
        <w:t xml:space="preserve">детей </w:t>
      </w:r>
      <w:r w:rsidR="00AB5882" w:rsidRPr="00711B9C">
        <w:t>и 40%</w:t>
      </w:r>
      <w:r w:rsidR="00AB5882">
        <w:t xml:space="preserve"> подростков </w:t>
      </w:r>
      <w:r w:rsidR="00AB5882">
        <w:fldChar w:fldCharType="begin"/>
      </w:r>
      <w:r w:rsidR="00C76B1F">
        <w:instrText xml:space="preserve"> ADDIN ZOTERO_ITEM CSL_CITATION {"citationID":"VwVRvWBa","properties":{"formattedCitation":"(7)","plainCitation":"(7)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}],"schema":"https://github.com/citation-style-language/schema/raw/master/csl-citation.json"} </w:instrText>
      </w:r>
      <w:r w:rsidR="00AB5882">
        <w:fldChar w:fldCharType="separate"/>
      </w:r>
      <w:r w:rsidR="00C76B1F" w:rsidRPr="00C76B1F">
        <w:t>(7)</w:t>
      </w:r>
      <w:r w:rsidR="00AB5882">
        <w:fldChar w:fldCharType="end"/>
      </w:r>
      <w:r w:rsidR="00AB5882">
        <w:t xml:space="preserve">. </w:t>
      </w:r>
    </w:p>
    <w:p w14:paraId="55842BC4" w14:textId="07CF9C7F" w:rsidR="008F7B8C" w:rsidRDefault="00953D57" w:rsidP="00711B9C">
      <w:pPr>
        <w:pStyle w:val="a"/>
        <w:rPr>
          <w:rFonts w:eastAsiaTheme="minorEastAsia" w:cstheme="minorBidi"/>
        </w:rPr>
      </w:pPr>
      <w:r>
        <w:t xml:space="preserve">Преимущественно степень тяжести НЯ не превышала </w:t>
      </w:r>
      <w:r w:rsidR="00AB5882">
        <w:t xml:space="preserve">2 баллов. </w:t>
      </w:r>
      <w:r w:rsidR="00D1610D">
        <w:t>В</w:t>
      </w:r>
      <w:r w:rsidR="00AB5882">
        <w:t xml:space="preserve"> структуре НЯ преобладали </w:t>
      </w:r>
      <w:r w:rsidR="00AB5882" w:rsidRPr="00711B9C">
        <w:t>сыпь и диспепсические явления.</w:t>
      </w:r>
      <w:r w:rsidR="00AB5882">
        <w:t xml:space="preserve"> </w:t>
      </w:r>
      <w:r w:rsidR="00D1610D" w:rsidRPr="00711B9C">
        <w:t>О синдроме Стивенса-Джонсона или других высыпаниях 4 степени не сообщалось.</w:t>
      </w:r>
      <w:r w:rsidR="00D1610D" w:rsidRPr="00D1610D">
        <w:t xml:space="preserve"> </w:t>
      </w:r>
      <w:r w:rsidR="00D1610D" w:rsidRPr="00711B9C">
        <w:t xml:space="preserve">Серьезное </w:t>
      </w:r>
      <w:r w:rsidR="008F7B8C">
        <w:t>нежелательное явление (СНЯ)</w:t>
      </w:r>
      <w:r w:rsidR="00D1610D" w:rsidRPr="00711B9C">
        <w:t xml:space="preserve">, связанное с </w:t>
      </w:r>
      <w:r w:rsidR="00D1610D" w:rsidRPr="00D1610D">
        <w:t>препарат</w:t>
      </w:r>
      <w:r w:rsidR="00D1610D">
        <w:t>ом</w:t>
      </w:r>
      <w:r w:rsidR="00D1610D" w:rsidRPr="00D1610D">
        <w:t xml:space="preserve"> Интеленс</w:t>
      </w:r>
      <w:r w:rsidR="00D1610D" w:rsidRPr="00D1610D">
        <w:rPr>
          <w:vertAlign w:val="superscript"/>
        </w:rPr>
        <w:t>®</w:t>
      </w:r>
      <w:r w:rsidR="00D1610D" w:rsidRPr="00D1610D">
        <w:t xml:space="preserve"> (Этравирин)</w:t>
      </w:r>
      <w:r w:rsidR="00D1610D" w:rsidRPr="00711B9C">
        <w:t>, было зарегистриро</w:t>
      </w:r>
      <w:r w:rsidR="00D1610D">
        <w:t>вано только у одного пациента в</w:t>
      </w:r>
      <w:r w:rsidR="00D1610D" w:rsidRPr="00711B9C">
        <w:t xml:space="preserve"> связи с непреднамеренной передозировкой</w:t>
      </w:r>
      <w:r w:rsidR="008F7B8C">
        <w:t xml:space="preserve">. </w:t>
      </w:r>
      <w:r w:rsidR="008F7B8C" w:rsidRPr="00711B9C">
        <w:t>НЯ/СНЯ со стороны ЦНС в ходе исследования выявлено не было.</w:t>
      </w:r>
      <w:r w:rsidR="00D1610D">
        <w:fldChar w:fldCharType="begin"/>
      </w:r>
      <w:r w:rsidR="00C76B1F">
        <w:instrText xml:space="preserve"> ADDIN ZOTERO_ITEM CSL_CITATION {"citationID":"JQLkgSha","properties":{"formattedCitation":"(7)","plainCitation":"(7)","noteIndex":0},"citationItems":[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}],"schema":"https://github.com/citation-style-language/schema/raw/master/csl-citation.json"} </w:instrText>
      </w:r>
      <w:r w:rsidR="00D1610D">
        <w:fldChar w:fldCharType="separate"/>
      </w:r>
      <w:r w:rsidR="00C76B1F" w:rsidRPr="00C76B1F">
        <w:t>(7)</w:t>
      </w:r>
      <w:r w:rsidR="00D1610D">
        <w:fldChar w:fldCharType="end"/>
      </w:r>
      <w:r w:rsidR="00D1610D" w:rsidRPr="00711B9C">
        <w:t>.</w:t>
      </w:r>
      <w:r w:rsidR="008F7B8C" w:rsidRPr="008F7B8C">
        <w:rPr>
          <w:rFonts w:eastAsiaTheme="minorEastAsia" w:cstheme="minorBidi"/>
        </w:rPr>
        <w:t xml:space="preserve"> </w:t>
      </w:r>
    </w:p>
    <w:p w14:paraId="5981EC82" w14:textId="05489E08" w:rsidR="00953D57" w:rsidRDefault="00110C57" w:rsidP="00CB6D20">
      <w:pPr>
        <w:pStyle w:val="a"/>
      </w:pPr>
      <w:r w:rsidRPr="00711B9C">
        <w:t xml:space="preserve">Полученные в исследовании PIANO результаты </w:t>
      </w:r>
      <w:r w:rsidR="00CB6D20" w:rsidRPr="00711B9C">
        <w:t xml:space="preserve">предопределили оценку </w:t>
      </w:r>
      <w:r w:rsidR="00A158B9">
        <w:t xml:space="preserve">допустимости </w:t>
      </w:r>
      <w:r w:rsidR="00CB6D20" w:rsidRPr="00711B9C">
        <w:t xml:space="preserve">применения препарата </w:t>
      </w:r>
      <w:r w:rsidR="00CB6D20" w:rsidRPr="00110C57">
        <w:t>Интеленс</w:t>
      </w:r>
      <w:r w:rsidR="00CB6D20" w:rsidRPr="00110C57">
        <w:rPr>
          <w:vertAlign w:val="superscript"/>
        </w:rPr>
        <w:t>®</w:t>
      </w:r>
      <w:r w:rsidR="00CB6D20" w:rsidRPr="00110C57">
        <w:t xml:space="preserve"> (Этравирин)</w:t>
      </w:r>
      <w:r w:rsidR="00CB6D20" w:rsidRPr="00711B9C">
        <w:t xml:space="preserve"> у детей от </w:t>
      </w:r>
      <w:r w:rsidR="00CB6D20">
        <w:t>2</w:t>
      </w:r>
      <w:r w:rsidR="00CB6D20" w:rsidRPr="00711B9C">
        <w:t xml:space="preserve"> до 6 лет</w:t>
      </w:r>
      <w:r w:rsidRPr="00711B9C">
        <w:t>.</w:t>
      </w:r>
      <w:r>
        <w:t xml:space="preserve"> </w:t>
      </w:r>
      <w:r w:rsidR="008F7B8C">
        <w:rPr>
          <w:rFonts w:eastAsiaTheme="minorEastAsia" w:cstheme="minorBidi"/>
        </w:rPr>
        <w:t>Б</w:t>
      </w:r>
      <w:r w:rsidR="008F7B8C" w:rsidRPr="008F7B8C">
        <w:t xml:space="preserve">лагоприятный профиль безопасности </w:t>
      </w:r>
      <w:r w:rsidRPr="00110C57">
        <w:t>препарат</w:t>
      </w:r>
      <w:r>
        <w:t>а</w:t>
      </w:r>
      <w:r w:rsidRPr="00110C57">
        <w:t xml:space="preserve"> Интеленс</w:t>
      </w:r>
      <w:r w:rsidRPr="00110C57">
        <w:rPr>
          <w:vertAlign w:val="superscript"/>
        </w:rPr>
        <w:t>®</w:t>
      </w:r>
      <w:r w:rsidRPr="00110C57">
        <w:t xml:space="preserve"> (Этравирин)</w:t>
      </w:r>
      <w:r w:rsidR="008F7B8C" w:rsidRPr="008F7B8C">
        <w:t xml:space="preserve"> </w:t>
      </w:r>
      <w:r>
        <w:t xml:space="preserve">был показан и для </w:t>
      </w:r>
      <w:r w:rsidR="008F7B8C" w:rsidRPr="008F7B8C">
        <w:t xml:space="preserve">детей в возрасте от </w:t>
      </w:r>
      <w:r>
        <w:t>2</w:t>
      </w:r>
      <w:r w:rsidR="008F7B8C" w:rsidRPr="008F7B8C">
        <w:t xml:space="preserve"> до 6 лет</w:t>
      </w:r>
      <w:r>
        <w:t xml:space="preserve"> </w:t>
      </w:r>
      <w:r>
        <w:fldChar w:fldCharType="begin"/>
      </w:r>
      <w:r w:rsidR="00C76B1F">
        <w:instrText xml:space="preserve"> ADDIN ZOTERO_ITEM CSL_CITATION {"citationID":"Oj8jUd0k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>
        <w:fldChar w:fldCharType="separate"/>
      </w:r>
      <w:r w:rsidR="00C76B1F" w:rsidRPr="00C76B1F">
        <w:t>(5)</w:t>
      </w:r>
      <w:r>
        <w:fldChar w:fldCharType="end"/>
      </w:r>
      <w:r w:rsidR="008F7B8C" w:rsidRPr="008F7B8C">
        <w:t>.</w:t>
      </w:r>
    </w:p>
    <w:p w14:paraId="726E1D01" w14:textId="3E24063A" w:rsidR="00A158B9" w:rsidRDefault="00A158B9" w:rsidP="00CB6D20">
      <w:pPr>
        <w:pStyle w:val="a"/>
      </w:pPr>
      <w:r w:rsidRPr="00A158B9">
        <w:t>Таким образом, препарат Интеленс</w:t>
      </w:r>
      <w:r w:rsidRPr="00A158B9">
        <w:rPr>
          <w:vertAlign w:val="superscript"/>
        </w:rPr>
        <w:t>®</w:t>
      </w:r>
      <w:r w:rsidRPr="00A158B9">
        <w:t xml:space="preserve"> (Этравирин) отвечает основным требованиям терапии ВИЧ-инфекции в педиатрической популяции</w:t>
      </w:r>
      <w:r>
        <w:t xml:space="preserve"> и может применяться в составе АРТ у разных возрастных групп. </w:t>
      </w:r>
    </w:p>
    <w:p w14:paraId="5347EB12" w14:textId="63B5A5D4" w:rsidR="00F37DFB" w:rsidRPr="00EF0822" w:rsidRDefault="00F37DFB" w:rsidP="00E430FC">
      <w:pPr>
        <w:pStyle w:val="Heading2"/>
      </w:pPr>
      <w:bookmarkStart w:id="9" w:name="_Toc68213884"/>
      <w:r w:rsidRPr="00EF0822">
        <w:lastRenderedPageBreak/>
        <w:t>Резюме</w:t>
      </w:r>
      <w:bookmarkEnd w:id="9"/>
    </w:p>
    <w:p w14:paraId="255214BA" w14:textId="0F95C172" w:rsidR="0059229B" w:rsidRDefault="008B20BD" w:rsidP="008B20BD">
      <w:pPr>
        <w:pStyle w:val="ListBullet"/>
        <w:jc w:val="both"/>
      </w:pPr>
      <w:r w:rsidRPr="008B20BD">
        <w:t>Распространение ВИЧ-инфекции во всех возрастных группах педиатрической популяции Российской Федерации является серьезной социальной и медицинской проблемой</w:t>
      </w:r>
      <w:r w:rsidR="00C33210">
        <w:t xml:space="preserve"> </w:t>
      </w:r>
      <w:r w:rsidR="00C33210">
        <w:fldChar w:fldCharType="begin"/>
      </w:r>
      <w:r w:rsidR="00C33210">
        <w:instrText xml:space="preserve"> ADDIN ZOTERO_ITEM CSL_CITATION {"citationID":"8PBCDXE5","properties":{"formattedCitation":"(1)","plainCitation":"(1)","noteIndex":0},"citationItems":[{"id":6,"uris":["http://zotero.org/users/7777522/items/4KFPL2DN"],"uri":["http://zotero.org/users/7777522/items/4KFPL2DN"],"itemData":{"id":6,"type":"article","title":"Byulleten-45-VICH-infektsiya-2019-g..pdf","URL":"http://www.hivrussia.info/wp-content/uploads/2020/12/Byulleten-45-VICH-infektsiya-2019-g..pdf","accessed":{"date-parts":[["2021",4,1]]}}}],"schema":"https://github.com/citation-style-language/schema/raw/master/csl-citation.json"} </w:instrText>
      </w:r>
      <w:r w:rsidR="00C33210">
        <w:fldChar w:fldCharType="separate"/>
      </w:r>
      <w:r w:rsidR="00C33210" w:rsidRPr="00C33210">
        <w:rPr>
          <w:rFonts w:cs="Times New Roman"/>
        </w:rPr>
        <w:t>(1)</w:t>
      </w:r>
      <w:r w:rsidR="00C33210">
        <w:fldChar w:fldCharType="end"/>
      </w:r>
      <w:r w:rsidRPr="008B20BD">
        <w:t>.</w:t>
      </w:r>
    </w:p>
    <w:p w14:paraId="5F74C22D" w14:textId="097336F6" w:rsidR="008B20BD" w:rsidRDefault="008B20BD" w:rsidP="008B20BD">
      <w:pPr>
        <w:pStyle w:val="ListBullet"/>
        <w:jc w:val="both"/>
      </w:pPr>
      <w:r>
        <w:t>П</w:t>
      </w:r>
      <w:r w:rsidRPr="008B20BD">
        <w:t xml:space="preserve">реимущества АРТ в педиатрической популяции </w:t>
      </w:r>
      <w:r>
        <w:t>перевешиваю</w:t>
      </w:r>
      <w:r w:rsidRPr="008B20BD">
        <w:t xml:space="preserve">т риск, с которым связано применение данных лекарственных средств у ВИЧ-инфицированных детей и подростков. </w:t>
      </w:r>
      <w:r>
        <w:t>В</w:t>
      </w:r>
      <w:r w:rsidRPr="008B20BD">
        <w:t>озрастные особенности педиатрической популяции ограничивают арсенал эффективных и безопасных АРП</w:t>
      </w:r>
      <w:r w:rsidR="005B41B4">
        <w:t xml:space="preserve"> </w:t>
      </w:r>
      <w:r w:rsidR="005B41B4">
        <w:fldChar w:fldCharType="begin"/>
      </w:r>
      <w:r w:rsidR="005B41B4">
        <w:instrText xml:space="preserve"> ADDIN ZOTERO_ITEM CSL_CITATION {"citationID":"b6Q6uk7B","properties":{"formattedCitation":"(2)","plainCitation":"(2)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ВИЧ/СПИДа","URL":"http://rushiv.ru/klinicheskie-rekomendatsii-vich-infektsiya-u-detej/","accessed":{"date-parts":[["2021",4,1]]}}}],"schema":"https://github.com/citation-style-language/schema/raw/master/csl-citation.json"} </w:instrText>
      </w:r>
      <w:r w:rsidR="005B41B4">
        <w:fldChar w:fldCharType="separate"/>
      </w:r>
      <w:r w:rsidR="005B41B4" w:rsidRPr="005B41B4">
        <w:rPr>
          <w:rFonts w:cs="Times New Roman"/>
        </w:rPr>
        <w:t>(2)</w:t>
      </w:r>
      <w:r w:rsidR="005B41B4">
        <w:fldChar w:fldCharType="end"/>
      </w:r>
      <w:r w:rsidRPr="008B20BD">
        <w:t>.</w:t>
      </w:r>
    </w:p>
    <w:p w14:paraId="44AF747A" w14:textId="77777777" w:rsidR="00A158B9" w:rsidRPr="00F167E4" w:rsidRDefault="00A158B9" w:rsidP="00AF77BB">
      <w:pPr>
        <w:pStyle w:val="ListBullet"/>
        <w:jc w:val="both"/>
      </w:pPr>
      <w:r w:rsidRPr="00F167E4">
        <w:t xml:space="preserve">Нормативной документацией рекомендовано применение в педиатрической популяции препаратов с доказанной в РКИ эффективностью и безопасностью </w:t>
      </w:r>
      <w:r w:rsidRPr="00F167E4">
        <w:fldChar w:fldCharType="begin"/>
      </w:r>
      <w:r w:rsidRPr="00F167E4">
        <w:instrText xml:space="preserve"> ADDIN ZOTERO_ITEM CSL_CITATION {"citationID":"TxUgI6P5","properties":{"formattedCitation":"(2)","plainCitation":"(2)","noteIndex":0},"citationItems":[{"id":7,"uris":["http://zotero.org/users/7777522/items/NGM46Q4L"],"uri":["http://zotero.org/users/7777522/items/NGM46Q4L"],"itemData":{"id":7,"type":"post-weblog","language":"ru-RU","title":"Клинические рекомендации. ВИЧ-инфекция у детей — Национальная ассоциация специалистов в области ВИЧ/СПИДа","URL":"http://rushiv.ru/klinicheskie-rekomendatsii-vich-infektsiya-u-detej/","accessed":{"date-parts":[["2021",4,1]]}}}],"schema":"https://github.com/citation-style-language/schema/raw/master/csl-citation.json"} </w:instrText>
      </w:r>
      <w:r w:rsidRPr="00F167E4">
        <w:fldChar w:fldCharType="separate"/>
      </w:r>
      <w:r w:rsidRPr="00F167E4">
        <w:rPr>
          <w:rFonts w:cs="Times New Roman"/>
        </w:rPr>
        <w:t>(2)</w:t>
      </w:r>
      <w:r w:rsidRPr="00F167E4">
        <w:fldChar w:fldCharType="end"/>
      </w:r>
      <w:r w:rsidRPr="00F167E4">
        <w:t>.</w:t>
      </w:r>
    </w:p>
    <w:p w14:paraId="44FB8873" w14:textId="6AAA89CD" w:rsidR="00A158B9" w:rsidRPr="00F167E4" w:rsidRDefault="00A158B9" w:rsidP="00307EA9">
      <w:pPr>
        <w:pStyle w:val="ListBullet"/>
        <w:jc w:val="both"/>
      </w:pPr>
      <w:r w:rsidRPr="00F167E4">
        <w:t>Эффективность и безопасность препарата Интеленс</w:t>
      </w:r>
      <w:r w:rsidRPr="00F167E4">
        <w:rPr>
          <w:vertAlign w:val="superscript"/>
        </w:rPr>
        <w:t>®</w:t>
      </w:r>
      <w:r w:rsidRPr="00F167E4">
        <w:t xml:space="preserve"> у детей разных возрастных групп была доказана</w:t>
      </w:r>
      <w:r>
        <w:t xml:space="preserve"> в ряде </w:t>
      </w:r>
      <w:r w:rsidRPr="00F167E4">
        <w:t>клинических исследований</w:t>
      </w:r>
      <w:r w:rsidR="00F167E4">
        <w:t xml:space="preserve"> </w:t>
      </w:r>
      <w:r w:rsidR="00F167E4" w:rsidRPr="00F167E4">
        <w:fldChar w:fldCharType="begin"/>
      </w:r>
      <w:r w:rsidR="00F167E4">
        <w:instrText xml:space="preserve"> ADDIN ZOTERO_ITEM CSL_CITATION {"citationID":"LEEf5JJe","properties":{"formattedCitation":"(6\\uc0\\u8211{}8)","plainCitation":"(6–8)","noteIndex":0},"citationItems":[{"id":10,"uris":["http://zotero.org/users/7777522/items/JV6UX8SG"],"uri":["http://zotero.org/users/7777522/items/JV6UX8SG"],"itemData":{"id":10,"type":"article-journal","abstract":"Objectives PIANO (Paediatric study of Intelence As an NNRTI Option; TMC125-C213; NCT00665847) assessed the safety/tolerability, antiviral activity and pharmacokinetics of etravirine plus an optimized background regimen (OBR) in treatment-experienced, HIV-1-infected children (≥ 6 to &lt; 12 years) and adolescents (≥ 12 to &lt; 18 years) over 48 weeks. Methods In a phase II, open-label, single-arm study, 101 treatment-experienced patients (41 children; 60 adolescents) with screening viral load (VL) ≥ 500 HIV-1 RNA copies/mL received etravirine 5.2 mg/kg (maximum dose 200 mg) twice a day (bid) plus OBR. Results Sixty-seven per cent of patients had previously used efavirenz or nevirapine. At week 48, the most common treatment-related grade ≥ 2 adverse event (AE) was rash (13%); 12% experienced grade 3 AEs. Only two grade 4 AEs occurred (both thrombocytopaenia, not etravirine related). At week 48, 56% of patients (68% children; 48% adolescents) achieved a virological response (VL&lt;50 copies/mL; intent-to-treat, noncompleter=failure). Factors predictive of response were adherence &gt; 95%, male sex, low baseline etravirine weighted genotypic score and high etravirine trough concentration (C0h). Seventy-six patients (75%) completed the trial; most discontinuations occurred because of protocol noncompliance or AEs (8% each). Sixty-five per cent of patients were &gt; 95% adherent by questionnaire and 39% by pill count. Forty-one patients experienced virological failure (VF; time-to-loss-of-virological-response non-VF-censored algorithm) (29 nonresponders; 12 rebounders). Of 30 patients with VF with paired baseline/endpoint genotypes, 18 (60%) developed nonnucleoside reverse transcriptase inhibitor (NNRTI) mutations, most commonly Y181C. Mean etravirine area under the plasma concentration–time curve over 12 h (AUC0–12h; 5216 ng h/mL) and C0h (346 ng/mL) were comparable to adult target values. Conclusions Results with etravirine 5.2 mg/kg bid (with OBR) in this treatment-experienced paediatric population and etravirine 200 mg bid in treatment-experienced adults were comparable. Etravirine is an NNRTI option for treatment-experienced paediatric patients.","container-title":"HIV Medicine","DOI":"https://doi.org/10.1111/hiv.12141","ISSN":"1468-1293","issue":"9","language":"en","note":"_eprint: https://onlinelibrary.wiley.com/doi/pdf/10.1111/hiv.12141","page":"513-524","source":"Wiley Online Library","title":"Etravirine in treatment-experienced, HIV-1-infected children and adolescents: 48-week safety, efficacy and resistance analysis of the phase II PIANO study","title-short":"Etravirine in treatment-experienced, HIV-1-infected children and adolescents","volume":"15","author":[{"family":"Tudor‐Williams","given":"G."},{"family":"Cahn","given":"P."},{"family":"Chokephaibulkit","given":"K."},{"family":"Fourie","given":"J."},{"family":"Karatzios","given":"C."},{"family":"Dincq","given":"S."},{"family":"Opsomer","given":"M."},{"family":"Kakuda","given":"T. N."},{"family":"Nijs","given":"S."},{"family":"Tambuyzer","given":"L."},{"family":"Tomaka","given":"F. L."}],"issued":{"date-parts":[["2014"]]}},"label":"page"},{"id":12,"uris":["http://zotero.org/users/7777522/items/H2IF4AXF"],"uri":["http://zotero.org/users/7777522/items/H2IF4AXF"],"itemData":{"id":12,"type":"article-journal","abstract":"Objectives: \n        To evaluate the pharmacokinetics, weight-based dose selection and short-term safety and tolerability of etravirine in HIV-1-infected children and adolescents.\n        Design: \n        Phase I, nonrandomized, open-label study in two stages.\n        Methods: \n        Children and adolescents aged at least 6 years to 17 years or less on a stable lopinavir/ritonavir-based antiretroviral regimen with HIV-1 RNA plasma viral load less than 50 copies/ml were enrolled. In both stages, etravirine (4 mg/kg twice daily in stage I, 5.2 mg/kg twice daily in stage II), added to the existing antiretroviral regimen, was administered for 7 days followed by a morning dose and 12-h pharmacokinetic assessment on day 8. Pharmacokinetic parameters were determined using noncompartmental analysis. Data were compared with those previously established in HIV-1-infected adults on a similar etravirine (200 mg twice daily) combination antiretroviral regimen.\n        Results: \n        Twenty-one patients were recruited to each stage; 19 and 20 had evaluable pharmacokinetics in stages I and II, respectively. Mean (SD) maximum plasma concentrations in stages I and II were 495 (453) and 757 ng/ml (680), respectively; area under the plasma concentration–time curve over 12 h was 4050 (3602) and 6141 ng h/ml (5586), respectively. Statistical/qualitative comparisons showed comparable exposures with adults in stage II; however, the upper 90% confidence interval fell outside the predefined range. Plasma viral load remained undetectable on day 8 in all patients, and etravirine was well tolerated at both doses.\n        Conclusion: \n        Etravirine 5.2 mg/kg was well tolerated in this study and this dose was selected for further investigation in clinical trials.","container-title":"AIDS","DOI":"10.1097/QAD.0b013e32834f30b1","ISSN":"0269-9370","issue":"4","language":"en-US","page":"447–455","source":"journals.lww.com","title":"Pharmacokinetics and short-term safety and tolerability of etravirine in treatment-experienced HIV-1-infected children and adolescents","volume":"26","author":[{"family":"Königs","given":"Christoph"},{"family":"Feiterna-Sperling","given":"Cornelia"},{"family":"Esposito","given":"Susanna"},{"family":"Viscoli","given":"Claudio"},{"family":"Rosso","given":"Raffaella"},{"family":"Kakuda","given":"Thomas N."},{"family":"Leemans","given":"Ruud"},{"family":"Peeters","given":"Monika"},{"family":"Mack","given":"Rebecca"},{"family":"Peeters","given":"Ingeborg"},{"family":"Sinha","given":"Rekha"},{"family":"Boven","given":"Katia"},{"family":"Giaquinto","given":"Carlo"}],"issued":{"date-parts":[["2012",2,20]]}},"label":"page"},{"id":15,"uris":["http://zotero.org/users/7777522/items/WE9TQP7G"],"uri":["http://zotero.org/users/7777522/items/WE9TQP7G"],"itemData":{"id":15,"type":"article-journal","abstract":"Data on the combination of darunavir/ritonavir and etravirine both given twice daily in adolescents/young adults are lacking. In this study, we assessed the pharmacokinetics of darunavir/ritonavir 600/100 mg with etravirine 200 mg twice daily in 36 treatment-experienced human immunodeficiency virus-infected adolescents and young adults and found that exposures were comparable to those reported in adults.","container-title":"Journal of the Pediatric Infectious Diseases Society","DOI":"10.1093/jpids/piw017","ISSN":"2048-7207","issue":"3","journalAbbreviation":"J Pediatric Infect Dis Soc","language":"eng","note":"PMID: 27103489\nPMCID: PMC5907875","page":"294-296","source":"PubMed","title":"Pharmacokinetics of Darunavir/Ritonavir With Etravirine Both Twice Daily in Human Immunodeficiency Virus-Infected Adolescents and Young Adults","volume":"6","author":[{"family":"Cressey","given":"Tim R."},{"family":"Yogev","given":"Ram"},{"family":"Wiznia","given":"Andrew"},{"family":"Hazra","given":"Rohan"},{"family":"Jean-Philippe","given":"Patrick"},{"family":"Graham","given":"Bobbie"},{"family":"Gonzalez","given":"Amy"},{"family":"Britto","given":"Paula"},{"family":"Carey","given":"Vincent J."},{"family":"Fletcher","given":"Courtney V."},{"family":"Acosta","given":"Edward P."},{"literal":"IMPAACT P1058A Team"}],"issued":{"date-parts":[["2017",9,1]]}},"label":"page"}],"schema":"https://github.com/citation-style-language/schema/raw/master/csl-citation.json"} </w:instrText>
      </w:r>
      <w:r w:rsidR="00F167E4" w:rsidRPr="00F167E4">
        <w:fldChar w:fldCharType="separate"/>
      </w:r>
      <w:r w:rsidR="00F167E4" w:rsidRPr="00F167E4">
        <w:rPr>
          <w:rFonts w:cs="Times New Roman"/>
        </w:rPr>
        <w:t>(6–8)</w:t>
      </w:r>
      <w:r w:rsidR="00F167E4" w:rsidRPr="00F167E4">
        <w:fldChar w:fldCharType="end"/>
      </w:r>
      <w:r w:rsidR="00F167E4" w:rsidRPr="00F167E4">
        <w:t>.</w:t>
      </w:r>
    </w:p>
    <w:p w14:paraId="3DC0EF66" w14:textId="7607941E" w:rsidR="00AF77BB" w:rsidRDefault="00AF77BB" w:rsidP="00AF77BB">
      <w:pPr>
        <w:pStyle w:val="ListBullet"/>
        <w:jc w:val="both"/>
      </w:pPr>
      <w:r w:rsidRPr="00AF77BB">
        <w:t>Лекарственная форма препарата Интеленс</w:t>
      </w:r>
      <w:r w:rsidRPr="00AF77BB">
        <w:rPr>
          <w:vertAlign w:val="superscript"/>
        </w:rPr>
        <w:t>®</w:t>
      </w:r>
      <w:r w:rsidRPr="00AF77BB">
        <w:t xml:space="preserve"> (Этравирин) отвечает ключевым требованиям АРТ в педиатрической популяции и позволяет повысить приверженность терапии</w:t>
      </w:r>
      <w:r>
        <w:t xml:space="preserve"> </w:t>
      </w:r>
      <w:r>
        <w:fldChar w:fldCharType="begin"/>
      </w:r>
      <w:r w:rsidR="00C76B1F">
        <w:instrText xml:space="preserve"> ADDIN ZOTERO_ITEM CSL_CITATION {"citationID":"p6WyvYZA","properties":{"formattedCitation":"(5)","plainCitation":"(5)","noteIndex":0},"citationItems":[{"id":9,"uris":["http://zotero.org/users/7777522/items/WBR2QINR"],"uri":["http://zotero.org/users/7777522/items/WBR2QINR"],"itemData":{"id":9,"type":"article","title":"ЛП-006200[2021]_0.pdf","URL":"https://cdn.pharm-portal.ru/69jxs7cjr4n4gdc2acy5y4x8/instructions/%D0%9B%D0%9F-006200/InstrImg_0001466262_0000636130/%D0%9B%D0%9F-006200[2021]_0.pdf","accessed":{"date-parts":[["2021",4,1]]}}}],"schema":"https://github.com/citation-style-language/schema/raw/master/csl-citation.json"} </w:instrText>
      </w:r>
      <w:r>
        <w:fldChar w:fldCharType="separate"/>
      </w:r>
      <w:r w:rsidR="00C76B1F" w:rsidRPr="00C76B1F">
        <w:rPr>
          <w:rFonts w:cs="Times New Roman"/>
        </w:rPr>
        <w:t>(5)</w:t>
      </w:r>
      <w:r>
        <w:fldChar w:fldCharType="end"/>
      </w:r>
      <w:r w:rsidRPr="00AF77BB">
        <w:t>.</w:t>
      </w:r>
    </w:p>
    <w:p w14:paraId="070FC2BB" w14:textId="5D565B87" w:rsidR="00A158B9" w:rsidRPr="00EF0822" w:rsidRDefault="00C33210" w:rsidP="00F1551B">
      <w:pPr>
        <w:pStyle w:val="ListBullet"/>
        <w:jc w:val="both"/>
      </w:pPr>
      <w:r>
        <w:t>Препарат Интеленс</w:t>
      </w:r>
      <w:r w:rsidRPr="00A158B9">
        <w:rPr>
          <w:vertAlign w:val="superscript"/>
        </w:rPr>
        <w:t>®</w:t>
      </w:r>
      <w:r>
        <w:t xml:space="preserve"> одобрен для детей с 2-х лет (4). </w:t>
      </w:r>
    </w:p>
    <w:p w14:paraId="125B2ECC" w14:textId="123DECFD" w:rsidR="00126FA8" w:rsidRPr="00EF0822" w:rsidRDefault="00126FA8" w:rsidP="00721556">
      <w:pPr>
        <w:pStyle w:val="Heading1"/>
        <w:rPr>
          <w:rStyle w:val="Heading2Char"/>
          <w:b/>
          <w:bCs/>
          <w:color w:val="auto"/>
        </w:rPr>
      </w:pPr>
      <w:bookmarkStart w:id="10" w:name="_Toc68213885"/>
      <w:r w:rsidRPr="00EF0822">
        <w:rPr>
          <w:rStyle w:val="Heading2Char"/>
          <w:b/>
          <w:bCs/>
          <w:color w:val="auto"/>
        </w:rPr>
        <w:t>Список литературы</w:t>
      </w:r>
      <w:bookmarkEnd w:id="10"/>
    </w:p>
    <w:p w14:paraId="2E2F6451" w14:textId="77777777" w:rsidR="00F167E4" w:rsidRPr="00F167E4" w:rsidRDefault="00A82285" w:rsidP="00F167E4">
      <w:pPr>
        <w:pStyle w:val="Bibliography"/>
        <w:rPr>
          <w:rFonts w:cs="Times New Roman"/>
        </w:rPr>
      </w:pPr>
      <w:r>
        <w:fldChar w:fldCharType="begin"/>
      </w:r>
      <w:r w:rsidR="00F167E4"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="00F167E4" w:rsidRPr="00F167E4">
        <w:rPr>
          <w:rFonts w:cs="Times New Roman"/>
          <w:lang w:val="en-US"/>
        </w:rPr>
        <w:t xml:space="preserve">1. </w:t>
      </w:r>
      <w:r w:rsidR="00F167E4" w:rsidRPr="00F167E4">
        <w:rPr>
          <w:rFonts w:cs="Times New Roman"/>
          <w:lang w:val="en-US"/>
        </w:rPr>
        <w:tab/>
        <w:t>Byulleten-45-VICH-infektsiya-2019-g..pdf [</w:t>
      </w:r>
      <w:r w:rsidR="00F167E4" w:rsidRPr="00F167E4">
        <w:rPr>
          <w:rFonts w:cs="Times New Roman"/>
        </w:rPr>
        <w:t>Интернет</w:t>
      </w:r>
      <w:r w:rsidR="00F167E4" w:rsidRPr="00F167E4">
        <w:rPr>
          <w:rFonts w:cs="Times New Roman"/>
          <w:lang w:val="en-US"/>
        </w:rPr>
        <w:t xml:space="preserve">]. </w:t>
      </w:r>
      <w:r w:rsidR="00F167E4" w:rsidRPr="00F167E4">
        <w:rPr>
          <w:rFonts w:cs="Times New Roman"/>
        </w:rPr>
        <w:t>[цитируется по 1 апрель 2021 г.]. Доступно на: http://www.hivrussia.info/wp-content/uploads/2020/12/Byulleten-45-VICH-infektsiya-2019-g..pdf</w:t>
      </w:r>
    </w:p>
    <w:p w14:paraId="6B284799" w14:textId="77777777" w:rsidR="00F167E4" w:rsidRPr="00F167E4" w:rsidRDefault="00F167E4" w:rsidP="00F167E4">
      <w:pPr>
        <w:pStyle w:val="Bibliography"/>
        <w:rPr>
          <w:rFonts w:cs="Times New Roman"/>
        </w:rPr>
      </w:pPr>
      <w:r w:rsidRPr="00F167E4">
        <w:rPr>
          <w:rFonts w:cs="Times New Roman"/>
        </w:rPr>
        <w:t xml:space="preserve">2. </w:t>
      </w:r>
      <w:r w:rsidRPr="00F167E4">
        <w:rPr>
          <w:rFonts w:cs="Times New Roman"/>
        </w:rPr>
        <w:tab/>
        <w:t>Клинические рекомендации. ВИЧ-инфекция у детей — Национальная ассоциация специалистов в области ВИЧ/СПИДа [Интернет]. [цитируется по 1 апрель 2021 г.]. Доступно на: http://rushiv.ru/klinicheskie-rekomendatsii-vich-infektsiya-u-detej/</w:t>
      </w:r>
    </w:p>
    <w:p w14:paraId="034FA010" w14:textId="77777777" w:rsidR="00F167E4" w:rsidRPr="00F167E4" w:rsidRDefault="00F167E4" w:rsidP="00F167E4">
      <w:pPr>
        <w:pStyle w:val="Bibliography"/>
        <w:rPr>
          <w:rFonts w:cs="Times New Roman"/>
        </w:rPr>
      </w:pPr>
      <w:r w:rsidRPr="00F167E4">
        <w:rPr>
          <w:rFonts w:cs="Times New Roman"/>
          <w:lang w:val="en-US"/>
        </w:rPr>
        <w:t xml:space="preserve">3. </w:t>
      </w:r>
      <w:r w:rsidRPr="00F167E4">
        <w:rPr>
          <w:rFonts w:cs="Times New Roman"/>
          <w:lang w:val="en-US"/>
        </w:rPr>
        <w:tab/>
        <w:t>Spravka-VICH-v-Rossii-9-mes-2020.pdf [</w:t>
      </w:r>
      <w:r w:rsidRPr="00F167E4">
        <w:rPr>
          <w:rFonts w:cs="Times New Roman"/>
        </w:rPr>
        <w:t>Интернет</w:t>
      </w:r>
      <w:r w:rsidRPr="00F167E4">
        <w:rPr>
          <w:rFonts w:cs="Times New Roman"/>
          <w:lang w:val="en-US"/>
        </w:rPr>
        <w:t xml:space="preserve">]. </w:t>
      </w:r>
      <w:r w:rsidRPr="00F167E4">
        <w:rPr>
          <w:rFonts w:cs="Times New Roman"/>
        </w:rPr>
        <w:t>[цитируется по 1 апрель 2021 г.]. Доступно на: http://www.hivrussia.info/wp-content/uploads/2020/11/Spravka-VICH-v-Rossii-9-mes-2020.pdf</w:t>
      </w:r>
    </w:p>
    <w:p w14:paraId="20BC3372" w14:textId="77777777" w:rsidR="00F167E4" w:rsidRPr="00F167E4" w:rsidRDefault="00F167E4" w:rsidP="00F167E4">
      <w:pPr>
        <w:pStyle w:val="Bibliography"/>
        <w:rPr>
          <w:rFonts w:cs="Times New Roman"/>
        </w:rPr>
      </w:pPr>
      <w:r w:rsidRPr="00F167E4">
        <w:rPr>
          <w:rFonts w:cs="Times New Roman"/>
        </w:rPr>
        <w:t xml:space="preserve">4. </w:t>
      </w:r>
      <w:r w:rsidRPr="00F167E4">
        <w:rPr>
          <w:rFonts w:cs="Times New Roman"/>
        </w:rPr>
        <w:tab/>
        <w:t>PediatricGuidelines.pdf [Интернет]. [цитируется по 2 апрель 2021 г.]. Доступно на: https://clinicalinfo.hiv.gov/sites/default/files/guidelines/documents/PediatricGuidelines.pdf</w:t>
      </w:r>
    </w:p>
    <w:p w14:paraId="6F0E67A4" w14:textId="13E9157B" w:rsidR="00F167E4" w:rsidRPr="00F167E4" w:rsidRDefault="00F167E4" w:rsidP="00F167E4">
      <w:pPr>
        <w:pStyle w:val="Bibliography"/>
        <w:rPr>
          <w:rFonts w:cs="Times New Roman"/>
        </w:rPr>
      </w:pPr>
      <w:r w:rsidRPr="00F167E4">
        <w:rPr>
          <w:rFonts w:cs="Times New Roman"/>
        </w:rPr>
        <w:t xml:space="preserve">5. </w:t>
      </w:r>
      <w:r w:rsidRPr="00F167E4">
        <w:rPr>
          <w:rFonts w:cs="Times New Roman"/>
        </w:rPr>
        <w:tab/>
      </w:r>
      <w:r w:rsidR="007F692D">
        <w:rPr>
          <w:noProof/>
        </w:rPr>
        <w:t>Инструкция по медицинскому применению препарата Интеленс, РУ: ЛП-006200, ЛП-002399</w:t>
      </w:r>
    </w:p>
    <w:p w14:paraId="16AAFD82" w14:textId="77777777" w:rsidR="00F167E4" w:rsidRPr="00F167E4" w:rsidRDefault="00F167E4" w:rsidP="00F167E4">
      <w:pPr>
        <w:pStyle w:val="Bibliography"/>
        <w:rPr>
          <w:rFonts w:cs="Times New Roman"/>
          <w:lang w:val="en-US"/>
        </w:rPr>
      </w:pPr>
      <w:r w:rsidRPr="00F167E4">
        <w:rPr>
          <w:rFonts w:cs="Times New Roman"/>
          <w:lang w:val="en-US"/>
        </w:rPr>
        <w:t xml:space="preserve">6. </w:t>
      </w:r>
      <w:r w:rsidRPr="00F167E4">
        <w:rPr>
          <w:rFonts w:cs="Times New Roman"/>
          <w:lang w:val="en-US"/>
        </w:rPr>
        <w:tab/>
        <w:t xml:space="preserve">Tudor‐Williams G, Cahn P, Chokephaibulkit K, Fourie J, Karatzios C, Dincq S, </w:t>
      </w:r>
      <w:r w:rsidRPr="00F167E4">
        <w:rPr>
          <w:rFonts w:cs="Times New Roman"/>
        </w:rPr>
        <w:t>и</w:t>
      </w:r>
      <w:r w:rsidRPr="00F167E4">
        <w:rPr>
          <w:rFonts w:cs="Times New Roman"/>
          <w:lang w:val="en-US"/>
        </w:rPr>
        <w:t xml:space="preserve"> </w:t>
      </w:r>
      <w:r w:rsidRPr="00F167E4">
        <w:rPr>
          <w:rFonts w:cs="Times New Roman"/>
        </w:rPr>
        <w:t>др</w:t>
      </w:r>
      <w:r w:rsidRPr="00F167E4">
        <w:rPr>
          <w:rFonts w:cs="Times New Roman"/>
          <w:lang w:val="en-US"/>
        </w:rPr>
        <w:t xml:space="preserve">. Etravirine in treatment-experienced, HIV-1-infected children and adolescents: 48-week safety, efficacy and resistance analysis of the phase II PIANO study. HIV Medicine. 2014 </w:t>
      </w:r>
      <w:r w:rsidRPr="00F167E4">
        <w:rPr>
          <w:rFonts w:cs="Times New Roman"/>
        </w:rPr>
        <w:t>г</w:t>
      </w:r>
      <w:r w:rsidRPr="00F167E4">
        <w:rPr>
          <w:rFonts w:cs="Times New Roman"/>
          <w:lang w:val="en-US"/>
        </w:rPr>
        <w:t xml:space="preserve">.;15(9):513–24. </w:t>
      </w:r>
    </w:p>
    <w:p w14:paraId="38CC32AD" w14:textId="77777777" w:rsidR="00F167E4" w:rsidRPr="00F167E4" w:rsidRDefault="00F167E4" w:rsidP="00F167E4">
      <w:pPr>
        <w:pStyle w:val="Bibliography"/>
        <w:rPr>
          <w:rFonts w:cs="Times New Roman"/>
          <w:lang w:val="en-US"/>
        </w:rPr>
      </w:pPr>
      <w:r w:rsidRPr="00F167E4">
        <w:rPr>
          <w:rFonts w:cs="Times New Roman"/>
          <w:lang w:val="en-US"/>
        </w:rPr>
        <w:t xml:space="preserve">7. </w:t>
      </w:r>
      <w:r w:rsidRPr="00F167E4">
        <w:rPr>
          <w:rFonts w:cs="Times New Roman"/>
          <w:lang w:val="en-US"/>
        </w:rPr>
        <w:tab/>
        <w:t xml:space="preserve">Königs C, Feiterna-Sperling C, Esposito S, Viscoli C, Rosso R, Kakuda TN, </w:t>
      </w:r>
      <w:r w:rsidRPr="00F167E4">
        <w:rPr>
          <w:rFonts w:cs="Times New Roman"/>
        </w:rPr>
        <w:t>и</w:t>
      </w:r>
      <w:r w:rsidRPr="00F167E4">
        <w:rPr>
          <w:rFonts w:cs="Times New Roman"/>
          <w:lang w:val="en-US"/>
        </w:rPr>
        <w:t xml:space="preserve"> </w:t>
      </w:r>
      <w:r w:rsidRPr="00F167E4">
        <w:rPr>
          <w:rFonts w:cs="Times New Roman"/>
        </w:rPr>
        <w:t>др</w:t>
      </w:r>
      <w:r w:rsidRPr="00F167E4">
        <w:rPr>
          <w:rFonts w:cs="Times New Roman"/>
          <w:lang w:val="en-US"/>
        </w:rPr>
        <w:t xml:space="preserve">. Pharmacokinetics and short-term safety and tolerability of etravirine in treatment-experienced HIV-1-infected children and adolescents. AIDS. 20 </w:t>
      </w:r>
      <w:r w:rsidRPr="00F167E4">
        <w:rPr>
          <w:rFonts w:cs="Times New Roman"/>
        </w:rPr>
        <w:t>февраль</w:t>
      </w:r>
      <w:r w:rsidRPr="00F167E4">
        <w:rPr>
          <w:rFonts w:cs="Times New Roman"/>
          <w:lang w:val="en-US"/>
        </w:rPr>
        <w:t xml:space="preserve"> 2012 </w:t>
      </w:r>
      <w:r w:rsidRPr="00F167E4">
        <w:rPr>
          <w:rFonts w:cs="Times New Roman"/>
        </w:rPr>
        <w:t>г</w:t>
      </w:r>
      <w:r w:rsidRPr="00F167E4">
        <w:rPr>
          <w:rFonts w:cs="Times New Roman"/>
          <w:lang w:val="en-US"/>
        </w:rPr>
        <w:t xml:space="preserve">.;26(4):447–55. </w:t>
      </w:r>
    </w:p>
    <w:p w14:paraId="0CC0F782" w14:textId="588DC638" w:rsidR="00F167E4" w:rsidRDefault="00F167E4" w:rsidP="00F167E4">
      <w:pPr>
        <w:pStyle w:val="Bibliography"/>
        <w:rPr>
          <w:rFonts w:cs="Times New Roman"/>
        </w:rPr>
      </w:pPr>
      <w:r w:rsidRPr="00F167E4">
        <w:rPr>
          <w:rFonts w:cs="Times New Roman"/>
          <w:lang w:val="en-US"/>
        </w:rPr>
        <w:lastRenderedPageBreak/>
        <w:t xml:space="preserve">8. </w:t>
      </w:r>
      <w:r w:rsidRPr="00F167E4">
        <w:rPr>
          <w:rFonts w:cs="Times New Roman"/>
          <w:lang w:val="en-US"/>
        </w:rPr>
        <w:tab/>
        <w:t xml:space="preserve">Cressey TR, Yogev R, Wiznia A, Hazra R, Jean-Philippe P, Graham B, </w:t>
      </w:r>
      <w:r w:rsidRPr="00F167E4">
        <w:rPr>
          <w:rFonts w:cs="Times New Roman"/>
        </w:rPr>
        <w:t>и</w:t>
      </w:r>
      <w:r w:rsidRPr="00F167E4">
        <w:rPr>
          <w:rFonts w:cs="Times New Roman"/>
          <w:lang w:val="en-US"/>
        </w:rPr>
        <w:t xml:space="preserve"> </w:t>
      </w:r>
      <w:r w:rsidRPr="00F167E4">
        <w:rPr>
          <w:rFonts w:cs="Times New Roman"/>
        </w:rPr>
        <w:t>др</w:t>
      </w:r>
      <w:r w:rsidRPr="00F167E4">
        <w:rPr>
          <w:rFonts w:cs="Times New Roman"/>
          <w:lang w:val="en-US"/>
        </w:rPr>
        <w:t xml:space="preserve">. Pharmacokinetics of Darunavir/Ritonavir With Etravirine Both Twice Daily in Human Immunodeficiency Virus-Infected Adolescents and Young Adults. </w:t>
      </w:r>
      <w:r w:rsidRPr="00F167E4">
        <w:rPr>
          <w:rFonts w:cs="Times New Roman"/>
        </w:rPr>
        <w:t xml:space="preserve">J Pediatric Infect Dis Soc. 1 сентябрь 2017 г.;6(3):294–6. </w:t>
      </w:r>
    </w:p>
    <w:p w14:paraId="51FA2E5B" w14:textId="18FC95C5" w:rsidR="00905CB3" w:rsidRPr="00905CB3" w:rsidRDefault="00905CB3" w:rsidP="00905CB3"/>
    <w:p w14:paraId="0EE407F6" w14:textId="4E65FCA9" w:rsidR="00A84E5F" w:rsidRPr="007364CE" w:rsidRDefault="00A82285" w:rsidP="00A84E5F">
      <w:pPr>
        <w:pStyle w:val="Bibliography"/>
        <w:rPr>
          <w:rFonts w:cs="Times New Roman"/>
        </w:rPr>
      </w:pPr>
      <w:r>
        <w:rPr>
          <w:rFonts w:cs="Times New Roman"/>
        </w:rPr>
        <w:fldChar w:fldCharType="end"/>
      </w:r>
    </w:p>
    <w:p w14:paraId="11D1F13B" w14:textId="22F721FA" w:rsidR="007364CE" w:rsidRPr="007364CE" w:rsidRDefault="007364CE" w:rsidP="007364CE">
      <w:pPr>
        <w:pStyle w:val="Bibliography"/>
        <w:rPr>
          <w:rFonts w:cs="Times New Roman"/>
        </w:rPr>
      </w:pPr>
    </w:p>
    <w:p w14:paraId="6CB96F1D" w14:textId="469B201A" w:rsidR="00E96D36" w:rsidRPr="00EF0822" w:rsidRDefault="00E96D36" w:rsidP="00E96D36">
      <w:pPr>
        <w:pStyle w:val="a"/>
        <w:rPr>
          <w:rFonts w:eastAsiaTheme="majorEastAsia"/>
        </w:rPr>
      </w:pPr>
    </w:p>
    <w:p w14:paraId="117E19FF" w14:textId="298EFA3C" w:rsidR="00A806BD" w:rsidRDefault="00A806BD" w:rsidP="00E96D36">
      <w:pPr>
        <w:pStyle w:val="a"/>
        <w:rPr>
          <w:rFonts w:eastAsiaTheme="majorEastAsia"/>
        </w:rPr>
      </w:pPr>
    </w:p>
    <w:p w14:paraId="6D22916E" w14:textId="62322DA8" w:rsidR="0050163D" w:rsidRPr="0050163D" w:rsidRDefault="0050163D" w:rsidP="0050163D">
      <w:pPr>
        <w:pStyle w:val="a"/>
        <w:rPr>
          <w:rFonts w:eastAsiaTheme="majorEastAsia"/>
        </w:rPr>
      </w:pPr>
    </w:p>
    <w:p w14:paraId="3A0E7A3F" w14:textId="58749229" w:rsidR="0050163D" w:rsidRPr="0050163D" w:rsidRDefault="0050163D" w:rsidP="0050163D">
      <w:pPr>
        <w:pStyle w:val="a"/>
        <w:rPr>
          <w:rFonts w:eastAsiaTheme="majorEastAsia"/>
        </w:rPr>
      </w:pPr>
    </w:p>
    <w:p w14:paraId="0B180F7B" w14:textId="35169A55" w:rsidR="0050163D" w:rsidRPr="0050163D" w:rsidRDefault="0050163D" w:rsidP="0050163D">
      <w:pPr>
        <w:pStyle w:val="a"/>
        <w:rPr>
          <w:rFonts w:eastAsiaTheme="majorEastAsia"/>
        </w:rPr>
      </w:pPr>
    </w:p>
    <w:p w14:paraId="3F2B6EA5" w14:textId="00407986" w:rsidR="0050163D" w:rsidRPr="0050163D" w:rsidRDefault="0050163D" w:rsidP="0050163D">
      <w:pPr>
        <w:pStyle w:val="a"/>
        <w:rPr>
          <w:rFonts w:eastAsiaTheme="majorEastAsia"/>
        </w:rPr>
      </w:pPr>
    </w:p>
    <w:p w14:paraId="4482CB64" w14:textId="68C1A0A1" w:rsidR="0050163D" w:rsidRPr="0050163D" w:rsidRDefault="0050163D" w:rsidP="0050163D">
      <w:pPr>
        <w:pStyle w:val="a"/>
        <w:rPr>
          <w:rFonts w:eastAsiaTheme="majorEastAsia"/>
        </w:rPr>
      </w:pPr>
    </w:p>
    <w:p w14:paraId="673C3EE4" w14:textId="0D459B14" w:rsidR="0050163D" w:rsidRPr="0050163D" w:rsidRDefault="0050163D" w:rsidP="0050163D">
      <w:pPr>
        <w:pStyle w:val="a"/>
        <w:rPr>
          <w:rFonts w:eastAsiaTheme="majorEastAsia"/>
        </w:rPr>
      </w:pPr>
    </w:p>
    <w:p w14:paraId="425B1779" w14:textId="3BA04231" w:rsidR="0050163D" w:rsidRPr="0050163D" w:rsidRDefault="0050163D" w:rsidP="0050163D">
      <w:pPr>
        <w:pStyle w:val="a"/>
        <w:rPr>
          <w:rFonts w:eastAsiaTheme="majorEastAsia"/>
        </w:rPr>
      </w:pPr>
    </w:p>
    <w:p w14:paraId="0E182559" w14:textId="4F5D8F1D" w:rsidR="0050163D" w:rsidRPr="0050163D" w:rsidRDefault="0050163D" w:rsidP="0050163D">
      <w:pPr>
        <w:pStyle w:val="a"/>
        <w:rPr>
          <w:rFonts w:eastAsiaTheme="majorEastAsia"/>
        </w:rPr>
      </w:pPr>
    </w:p>
    <w:p w14:paraId="534825D3" w14:textId="11DFE4C6" w:rsidR="0050163D" w:rsidRPr="0050163D" w:rsidRDefault="0050163D" w:rsidP="0050163D">
      <w:pPr>
        <w:pStyle w:val="a"/>
        <w:rPr>
          <w:rFonts w:eastAsiaTheme="majorEastAsia"/>
        </w:rPr>
      </w:pPr>
    </w:p>
    <w:p w14:paraId="55584098" w14:textId="35B2D7B1" w:rsidR="0050163D" w:rsidRPr="0050163D" w:rsidRDefault="0050163D" w:rsidP="0050163D">
      <w:pPr>
        <w:pStyle w:val="a"/>
        <w:rPr>
          <w:rFonts w:eastAsiaTheme="majorEastAsia"/>
        </w:rPr>
      </w:pPr>
    </w:p>
    <w:p w14:paraId="29097E4A" w14:textId="6C3EA051" w:rsidR="0050163D" w:rsidRPr="0050163D" w:rsidRDefault="0050163D" w:rsidP="0050163D">
      <w:pPr>
        <w:pStyle w:val="a"/>
        <w:rPr>
          <w:rFonts w:eastAsiaTheme="majorEastAsia"/>
        </w:rPr>
      </w:pPr>
    </w:p>
    <w:p w14:paraId="39992F8C" w14:textId="44C1EBE5" w:rsidR="0050163D" w:rsidRPr="0050163D" w:rsidRDefault="0050163D" w:rsidP="0050163D">
      <w:pPr>
        <w:pStyle w:val="a"/>
        <w:rPr>
          <w:rFonts w:eastAsiaTheme="majorEastAsia"/>
        </w:rPr>
      </w:pPr>
    </w:p>
    <w:p w14:paraId="5E838875" w14:textId="7716C94A" w:rsidR="0050163D" w:rsidRPr="0050163D" w:rsidRDefault="0050163D" w:rsidP="0050163D">
      <w:pPr>
        <w:pStyle w:val="a"/>
        <w:rPr>
          <w:rFonts w:eastAsiaTheme="majorEastAsia"/>
        </w:rPr>
      </w:pPr>
    </w:p>
    <w:p w14:paraId="40352574" w14:textId="51EA997F" w:rsidR="0050163D" w:rsidRPr="0050163D" w:rsidRDefault="0050163D" w:rsidP="0050163D">
      <w:pPr>
        <w:pStyle w:val="a"/>
        <w:rPr>
          <w:rFonts w:eastAsiaTheme="majorEastAsia"/>
        </w:rPr>
      </w:pPr>
    </w:p>
    <w:p w14:paraId="300F8C7B" w14:textId="5F8D2160" w:rsidR="0050163D" w:rsidRPr="0050163D" w:rsidRDefault="0050163D" w:rsidP="0050163D">
      <w:pPr>
        <w:pStyle w:val="a"/>
        <w:rPr>
          <w:rFonts w:eastAsiaTheme="majorEastAsia"/>
        </w:rPr>
      </w:pPr>
    </w:p>
    <w:p w14:paraId="44463FC9" w14:textId="5609C8AD" w:rsidR="0050163D" w:rsidRPr="0050163D" w:rsidRDefault="0050163D" w:rsidP="0050163D">
      <w:pPr>
        <w:pStyle w:val="a"/>
        <w:rPr>
          <w:rFonts w:eastAsiaTheme="majorEastAsia"/>
        </w:rPr>
      </w:pPr>
    </w:p>
    <w:p w14:paraId="506479B3" w14:textId="399DB499" w:rsidR="0050163D" w:rsidRPr="0050163D" w:rsidRDefault="0050163D" w:rsidP="0050163D">
      <w:pPr>
        <w:pStyle w:val="a"/>
        <w:rPr>
          <w:rFonts w:eastAsiaTheme="majorEastAsia"/>
        </w:rPr>
      </w:pPr>
    </w:p>
    <w:p w14:paraId="722632FC" w14:textId="3E7EF2D8" w:rsidR="0050163D" w:rsidRPr="0050163D" w:rsidRDefault="0050163D" w:rsidP="0050163D">
      <w:pPr>
        <w:pStyle w:val="a"/>
        <w:rPr>
          <w:rFonts w:eastAsiaTheme="majorEastAsia"/>
        </w:rPr>
      </w:pPr>
    </w:p>
    <w:p w14:paraId="273727B4" w14:textId="09FAF910" w:rsidR="0050163D" w:rsidRPr="0050163D" w:rsidRDefault="0050163D" w:rsidP="0050163D">
      <w:pPr>
        <w:pStyle w:val="a"/>
        <w:rPr>
          <w:rFonts w:eastAsiaTheme="majorEastAsia"/>
        </w:rPr>
      </w:pPr>
    </w:p>
    <w:p w14:paraId="7C319807" w14:textId="15A22DBF" w:rsidR="0050163D" w:rsidRPr="0050163D" w:rsidRDefault="0050163D" w:rsidP="0050163D">
      <w:pPr>
        <w:pStyle w:val="a"/>
        <w:rPr>
          <w:rFonts w:eastAsiaTheme="majorEastAsia"/>
        </w:rPr>
      </w:pPr>
    </w:p>
    <w:p w14:paraId="09C1ACC4" w14:textId="660D8D67" w:rsidR="0050163D" w:rsidRPr="0050163D" w:rsidRDefault="0050163D" w:rsidP="0050163D">
      <w:pPr>
        <w:pStyle w:val="a"/>
        <w:rPr>
          <w:rFonts w:eastAsiaTheme="majorEastAsia"/>
        </w:rPr>
      </w:pPr>
    </w:p>
    <w:p w14:paraId="30F69D15" w14:textId="7FF50159" w:rsidR="0050163D" w:rsidRDefault="0050163D" w:rsidP="0050163D">
      <w:pPr>
        <w:pStyle w:val="a"/>
        <w:rPr>
          <w:rFonts w:eastAsiaTheme="majorEastAsia"/>
        </w:rPr>
      </w:pPr>
    </w:p>
    <w:p w14:paraId="7541A18C" w14:textId="71DF7F8D" w:rsidR="0050163D" w:rsidRDefault="0050163D" w:rsidP="0050163D">
      <w:pPr>
        <w:pStyle w:val="a"/>
        <w:rPr>
          <w:rFonts w:eastAsiaTheme="majorEastAsia"/>
        </w:rPr>
      </w:pPr>
    </w:p>
    <w:p w14:paraId="262D42A1" w14:textId="137A9EC2" w:rsidR="0050163D" w:rsidRPr="0050163D" w:rsidRDefault="0050163D" w:rsidP="0050163D">
      <w:pPr>
        <w:pStyle w:val="a"/>
        <w:tabs>
          <w:tab w:val="left" w:pos="3210"/>
        </w:tabs>
        <w:jc w:val="center"/>
        <w:rPr>
          <w:rFonts w:eastAsiaTheme="majorEastAsia"/>
        </w:rPr>
      </w:pPr>
      <w:r w:rsidRPr="0050163D">
        <w:rPr>
          <w:rFonts w:ascii="Arial" w:hAnsi="Arial" w:cs="Arial"/>
          <w:color w:val="303030"/>
          <w:sz w:val="17"/>
          <w:szCs w:val="17"/>
          <w:shd w:val="clear" w:color="auto" w:fill="FFFFFF"/>
        </w:rPr>
        <w:t>CP-208175</w:t>
      </w:r>
    </w:p>
    <w:sectPr w:rsidR="0050163D" w:rsidRPr="0050163D" w:rsidSect="000310E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C2A1" w14:textId="77777777" w:rsidR="00C82D66" w:rsidRPr="00BF7B4D" w:rsidRDefault="00C82D66" w:rsidP="00BF7B4D">
      <w:r>
        <w:separator/>
      </w:r>
    </w:p>
  </w:endnote>
  <w:endnote w:type="continuationSeparator" w:id="0">
    <w:p w14:paraId="5946DD30" w14:textId="77777777" w:rsidR="00C82D66" w:rsidRPr="00BF7B4D" w:rsidRDefault="00C82D66" w:rsidP="00B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2621"/>
      <w:docPartObj>
        <w:docPartGallery w:val="Page Numbers (Bottom of Page)"/>
        <w:docPartUnique/>
      </w:docPartObj>
    </w:sdtPr>
    <w:sdtEndPr/>
    <w:sdtContent>
      <w:p w14:paraId="73511EFB" w14:textId="6E8A1BFD" w:rsidR="00026279" w:rsidRDefault="00EB0A94" w:rsidP="00EB0A94">
        <w:pPr>
          <w:pStyle w:val="Footer"/>
          <w:jc w:val="left"/>
        </w:pPr>
        <w:r>
          <w:t xml:space="preserve">                                                                                                                      </w:t>
        </w:r>
        <w:r w:rsidR="00026279">
          <w:t xml:space="preserve">Страница </w:t>
        </w:r>
        <w:r w:rsidR="00026279" w:rsidRPr="00BF7B4D">
          <w:fldChar w:fldCharType="begin"/>
        </w:r>
        <w:r w:rsidR="00026279" w:rsidRPr="00BF7B4D">
          <w:instrText xml:space="preserve"> PAGE   \* MERGEFORMAT </w:instrText>
        </w:r>
        <w:r w:rsidR="00026279" w:rsidRPr="00BF7B4D">
          <w:fldChar w:fldCharType="separate"/>
        </w:r>
        <w:r w:rsidR="00F167E4">
          <w:rPr>
            <w:noProof/>
          </w:rPr>
          <w:t>8</w:t>
        </w:r>
        <w:r w:rsidR="00026279" w:rsidRPr="00BF7B4D">
          <w:fldChar w:fldCharType="end"/>
        </w:r>
        <w:r w:rsidR="00026279">
          <w:t xml:space="preserve"> из </w:t>
        </w:r>
        <w:fldSimple w:instr=" NUMPAGES   \* MERGEFORMAT ">
          <w:r w:rsidR="00F167E4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A7C5" w14:textId="77777777" w:rsidR="00C82D66" w:rsidRPr="00BF7B4D" w:rsidRDefault="00C82D66" w:rsidP="00BF7B4D">
      <w:r>
        <w:separator/>
      </w:r>
    </w:p>
  </w:footnote>
  <w:footnote w:type="continuationSeparator" w:id="0">
    <w:p w14:paraId="0961CD65" w14:textId="77777777" w:rsidR="00C82D66" w:rsidRPr="00BF7B4D" w:rsidRDefault="00C82D66" w:rsidP="00BF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2CF"/>
    <w:multiLevelType w:val="multilevel"/>
    <w:tmpl w:val="09A42878"/>
    <w:lvl w:ilvl="0">
      <w:start w:val="1"/>
      <w:numFmt w:val="decimal"/>
      <w:pStyle w:val="ListNumber"/>
      <w:lvlText w:val="%1."/>
      <w:lvlJc w:val="left"/>
      <w:pPr>
        <w:ind w:left="680" w:hanging="39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9"/>
        </w:tabs>
        <w:ind w:left="294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567"/>
      </w:pPr>
      <w:rPr>
        <w:rFonts w:hint="default"/>
      </w:rPr>
    </w:lvl>
  </w:abstractNum>
  <w:abstractNum w:abstractNumId="1" w15:restartNumberingAfterBreak="0">
    <w:nsid w:val="37031B45"/>
    <w:multiLevelType w:val="multilevel"/>
    <w:tmpl w:val="C910145E"/>
    <w:lvl w:ilvl="0">
      <w:start w:val="1"/>
      <w:numFmt w:val="bullet"/>
      <w:pStyle w:val="List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5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9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23" w:hanging="397"/>
      </w:pPr>
      <w:rPr>
        <w:rFonts w:ascii="Wingdings" w:hAnsi="Wingdings" w:hint="default"/>
      </w:rPr>
    </w:lvl>
  </w:abstractNum>
  <w:abstractNum w:abstractNumId="2" w15:restartNumberingAfterBreak="0">
    <w:nsid w:val="758963F4"/>
    <w:multiLevelType w:val="multilevel"/>
    <w:tmpl w:val="5BCE71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LockQFSet/>
  <w:defaultTabStop w:val="708"/>
  <w:clickAndTypeStyle w:val="a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98"/>
    <w:rsid w:val="00001C97"/>
    <w:rsid w:val="00006A3D"/>
    <w:rsid w:val="0000717E"/>
    <w:rsid w:val="00012D4C"/>
    <w:rsid w:val="00013B61"/>
    <w:rsid w:val="00015C94"/>
    <w:rsid w:val="00026279"/>
    <w:rsid w:val="000310E3"/>
    <w:rsid w:val="00033171"/>
    <w:rsid w:val="00034D22"/>
    <w:rsid w:val="00034ED7"/>
    <w:rsid w:val="0003719A"/>
    <w:rsid w:val="00040FA2"/>
    <w:rsid w:val="0004755B"/>
    <w:rsid w:val="00053C32"/>
    <w:rsid w:val="00067CC9"/>
    <w:rsid w:val="00070444"/>
    <w:rsid w:val="00071146"/>
    <w:rsid w:val="000731DF"/>
    <w:rsid w:val="00076200"/>
    <w:rsid w:val="00080361"/>
    <w:rsid w:val="000810D8"/>
    <w:rsid w:val="00081CB2"/>
    <w:rsid w:val="00087159"/>
    <w:rsid w:val="0008750A"/>
    <w:rsid w:val="000906AB"/>
    <w:rsid w:val="00092B7B"/>
    <w:rsid w:val="00093D97"/>
    <w:rsid w:val="0009601A"/>
    <w:rsid w:val="000D49A5"/>
    <w:rsid w:val="000D7F99"/>
    <w:rsid w:val="000F57D6"/>
    <w:rsid w:val="000F64D4"/>
    <w:rsid w:val="00103560"/>
    <w:rsid w:val="00104C3F"/>
    <w:rsid w:val="00107566"/>
    <w:rsid w:val="00110C57"/>
    <w:rsid w:val="0012463F"/>
    <w:rsid w:val="00126FA8"/>
    <w:rsid w:val="0013765D"/>
    <w:rsid w:val="00137754"/>
    <w:rsid w:val="0014259D"/>
    <w:rsid w:val="00146C7E"/>
    <w:rsid w:val="00151491"/>
    <w:rsid w:val="00152347"/>
    <w:rsid w:val="0016207C"/>
    <w:rsid w:val="001643FD"/>
    <w:rsid w:val="001644C3"/>
    <w:rsid w:val="00170FA8"/>
    <w:rsid w:val="001721C9"/>
    <w:rsid w:val="00174CE3"/>
    <w:rsid w:val="00176E7E"/>
    <w:rsid w:val="00181C2A"/>
    <w:rsid w:val="00181F13"/>
    <w:rsid w:val="00184FD5"/>
    <w:rsid w:val="00185EA9"/>
    <w:rsid w:val="001871D6"/>
    <w:rsid w:val="00192A04"/>
    <w:rsid w:val="00195D75"/>
    <w:rsid w:val="00195F65"/>
    <w:rsid w:val="001961DC"/>
    <w:rsid w:val="001A250E"/>
    <w:rsid w:val="001A54C4"/>
    <w:rsid w:val="001A68FF"/>
    <w:rsid w:val="001C0208"/>
    <w:rsid w:val="001C28F7"/>
    <w:rsid w:val="001C3A61"/>
    <w:rsid w:val="001D5C43"/>
    <w:rsid w:val="001E0018"/>
    <w:rsid w:val="001F06F4"/>
    <w:rsid w:val="001F7159"/>
    <w:rsid w:val="0020096A"/>
    <w:rsid w:val="0020229D"/>
    <w:rsid w:val="002079FD"/>
    <w:rsid w:val="00212220"/>
    <w:rsid w:val="0021234F"/>
    <w:rsid w:val="002142E7"/>
    <w:rsid w:val="00223EF8"/>
    <w:rsid w:val="00227486"/>
    <w:rsid w:val="00233580"/>
    <w:rsid w:val="00233E30"/>
    <w:rsid w:val="00236E81"/>
    <w:rsid w:val="002431B0"/>
    <w:rsid w:val="002452A7"/>
    <w:rsid w:val="00246DD9"/>
    <w:rsid w:val="002502F5"/>
    <w:rsid w:val="0025111A"/>
    <w:rsid w:val="00251CC8"/>
    <w:rsid w:val="00252D53"/>
    <w:rsid w:val="0025743D"/>
    <w:rsid w:val="00257FBD"/>
    <w:rsid w:val="00264903"/>
    <w:rsid w:val="00270446"/>
    <w:rsid w:val="002734F7"/>
    <w:rsid w:val="0027355B"/>
    <w:rsid w:val="0027490A"/>
    <w:rsid w:val="00277621"/>
    <w:rsid w:val="002844E6"/>
    <w:rsid w:val="00291F3F"/>
    <w:rsid w:val="002956F6"/>
    <w:rsid w:val="002A2495"/>
    <w:rsid w:val="002B27C8"/>
    <w:rsid w:val="002B5124"/>
    <w:rsid w:val="002B74EC"/>
    <w:rsid w:val="002B7F6E"/>
    <w:rsid w:val="002C1DE6"/>
    <w:rsid w:val="002C49E9"/>
    <w:rsid w:val="002C6C30"/>
    <w:rsid w:val="002C7110"/>
    <w:rsid w:val="002D0E32"/>
    <w:rsid w:val="002D0EA1"/>
    <w:rsid w:val="002D3A07"/>
    <w:rsid w:val="002D5DBF"/>
    <w:rsid w:val="00300FC9"/>
    <w:rsid w:val="003011BA"/>
    <w:rsid w:val="00303712"/>
    <w:rsid w:val="00305485"/>
    <w:rsid w:val="00312065"/>
    <w:rsid w:val="00312A62"/>
    <w:rsid w:val="00313488"/>
    <w:rsid w:val="003166A8"/>
    <w:rsid w:val="00322DB6"/>
    <w:rsid w:val="00333FFE"/>
    <w:rsid w:val="003374F0"/>
    <w:rsid w:val="003419FF"/>
    <w:rsid w:val="003456A5"/>
    <w:rsid w:val="00353BC2"/>
    <w:rsid w:val="003610DD"/>
    <w:rsid w:val="00361DEC"/>
    <w:rsid w:val="0036332F"/>
    <w:rsid w:val="00367C04"/>
    <w:rsid w:val="003772CA"/>
    <w:rsid w:val="003777B5"/>
    <w:rsid w:val="00394877"/>
    <w:rsid w:val="003A1040"/>
    <w:rsid w:val="003A1305"/>
    <w:rsid w:val="003A2E14"/>
    <w:rsid w:val="003A4F9E"/>
    <w:rsid w:val="003B0DE7"/>
    <w:rsid w:val="003B112C"/>
    <w:rsid w:val="003B1FC4"/>
    <w:rsid w:val="003C11AF"/>
    <w:rsid w:val="003D52A8"/>
    <w:rsid w:val="003D571C"/>
    <w:rsid w:val="003E73B0"/>
    <w:rsid w:val="003F04E5"/>
    <w:rsid w:val="003F191C"/>
    <w:rsid w:val="003F294A"/>
    <w:rsid w:val="003F49A1"/>
    <w:rsid w:val="003F5A70"/>
    <w:rsid w:val="0040521B"/>
    <w:rsid w:val="0041052F"/>
    <w:rsid w:val="00411151"/>
    <w:rsid w:val="00423DEE"/>
    <w:rsid w:val="00430732"/>
    <w:rsid w:val="00430A6B"/>
    <w:rsid w:val="00447C48"/>
    <w:rsid w:val="004503DA"/>
    <w:rsid w:val="00451321"/>
    <w:rsid w:val="00454325"/>
    <w:rsid w:val="00455E8D"/>
    <w:rsid w:val="004572AF"/>
    <w:rsid w:val="00457B5B"/>
    <w:rsid w:val="004617E6"/>
    <w:rsid w:val="0046403A"/>
    <w:rsid w:val="0046409B"/>
    <w:rsid w:val="00470309"/>
    <w:rsid w:val="004720A0"/>
    <w:rsid w:val="004731AF"/>
    <w:rsid w:val="00475569"/>
    <w:rsid w:val="00476B53"/>
    <w:rsid w:val="0047769A"/>
    <w:rsid w:val="00477877"/>
    <w:rsid w:val="004804ED"/>
    <w:rsid w:val="00484714"/>
    <w:rsid w:val="00490DB2"/>
    <w:rsid w:val="004934ED"/>
    <w:rsid w:val="004A2668"/>
    <w:rsid w:val="004A588D"/>
    <w:rsid w:val="004A66AF"/>
    <w:rsid w:val="004A68A3"/>
    <w:rsid w:val="004C27E4"/>
    <w:rsid w:val="004C4DF0"/>
    <w:rsid w:val="004D11A1"/>
    <w:rsid w:val="004D5C4F"/>
    <w:rsid w:val="004D6155"/>
    <w:rsid w:val="004E0990"/>
    <w:rsid w:val="004F0E0B"/>
    <w:rsid w:val="004F382B"/>
    <w:rsid w:val="004F6D8E"/>
    <w:rsid w:val="0050163D"/>
    <w:rsid w:val="005068AB"/>
    <w:rsid w:val="00506D38"/>
    <w:rsid w:val="00510D6C"/>
    <w:rsid w:val="00513FB5"/>
    <w:rsid w:val="00520FA7"/>
    <w:rsid w:val="00523837"/>
    <w:rsid w:val="00525A05"/>
    <w:rsid w:val="00525F9A"/>
    <w:rsid w:val="00527D81"/>
    <w:rsid w:val="0053009B"/>
    <w:rsid w:val="00534D0E"/>
    <w:rsid w:val="005446E2"/>
    <w:rsid w:val="005451BE"/>
    <w:rsid w:val="005459FE"/>
    <w:rsid w:val="00545A15"/>
    <w:rsid w:val="00547464"/>
    <w:rsid w:val="00551259"/>
    <w:rsid w:val="00553A79"/>
    <w:rsid w:val="005549EF"/>
    <w:rsid w:val="005558A3"/>
    <w:rsid w:val="005563FE"/>
    <w:rsid w:val="00557B56"/>
    <w:rsid w:val="0056623D"/>
    <w:rsid w:val="0057091A"/>
    <w:rsid w:val="0057494C"/>
    <w:rsid w:val="00575066"/>
    <w:rsid w:val="00583B24"/>
    <w:rsid w:val="005912E4"/>
    <w:rsid w:val="0059183B"/>
    <w:rsid w:val="0059229B"/>
    <w:rsid w:val="005A2ACF"/>
    <w:rsid w:val="005A4654"/>
    <w:rsid w:val="005A6A22"/>
    <w:rsid w:val="005B0C3E"/>
    <w:rsid w:val="005B41B4"/>
    <w:rsid w:val="005C0CDE"/>
    <w:rsid w:val="005C26F1"/>
    <w:rsid w:val="005C7228"/>
    <w:rsid w:val="005D1653"/>
    <w:rsid w:val="005D3653"/>
    <w:rsid w:val="005D4310"/>
    <w:rsid w:val="005D46AF"/>
    <w:rsid w:val="005D654D"/>
    <w:rsid w:val="005E3F18"/>
    <w:rsid w:val="005E4553"/>
    <w:rsid w:val="005E51D6"/>
    <w:rsid w:val="005E5CBD"/>
    <w:rsid w:val="005E6367"/>
    <w:rsid w:val="00600258"/>
    <w:rsid w:val="0060385F"/>
    <w:rsid w:val="006039FB"/>
    <w:rsid w:val="006065B1"/>
    <w:rsid w:val="00607F88"/>
    <w:rsid w:val="006100D5"/>
    <w:rsid w:val="0061142C"/>
    <w:rsid w:val="0061190F"/>
    <w:rsid w:val="00612B6C"/>
    <w:rsid w:val="00614283"/>
    <w:rsid w:val="006166D0"/>
    <w:rsid w:val="0061707C"/>
    <w:rsid w:val="00631182"/>
    <w:rsid w:val="00635399"/>
    <w:rsid w:val="0063649B"/>
    <w:rsid w:val="00636684"/>
    <w:rsid w:val="00637E71"/>
    <w:rsid w:val="006424F0"/>
    <w:rsid w:val="006442E3"/>
    <w:rsid w:val="006442E7"/>
    <w:rsid w:val="00656967"/>
    <w:rsid w:val="00662F6E"/>
    <w:rsid w:val="0066570C"/>
    <w:rsid w:val="0067058D"/>
    <w:rsid w:val="006737DE"/>
    <w:rsid w:val="006822A1"/>
    <w:rsid w:val="00683057"/>
    <w:rsid w:val="00686527"/>
    <w:rsid w:val="00687310"/>
    <w:rsid w:val="00691C97"/>
    <w:rsid w:val="00692787"/>
    <w:rsid w:val="00695BCD"/>
    <w:rsid w:val="006967E8"/>
    <w:rsid w:val="006A056A"/>
    <w:rsid w:val="006A0F01"/>
    <w:rsid w:val="006A1934"/>
    <w:rsid w:val="006A52AE"/>
    <w:rsid w:val="006B0B59"/>
    <w:rsid w:val="006B2643"/>
    <w:rsid w:val="006B29A8"/>
    <w:rsid w:val="006B3BEC"/>
    <w:rsid w:val="006B4120"/>
    <w:rsid w:val="006C278C"/>
    <w:rsid w:val="006D1241"/>
    <w:rsid w:val="006D34C8"/>
    <w:rsid w:val="006D3C87"/>
    <w:rsid w:val="006D5081"/>
    <w:rsid w:val="006D75F9"/>
    <w:rsid w:val="006E177C"/>
    <w:rsid w:val="006E1EA9"/>
    <w:rsid w:val="006F07BB"/>
    <w:rsid w:val="006F4AB6"/>
    <w:rsid w:val="0071001D"/>
    <w:rsid w:val="007100A2"/>
    <w:rsid w:val="007113B2"/>
    <w:rsid w:val="00711B9C"/>
    <w:rsid w:val="0071379A"/>
    <w:rsid w:val="00714DF7"/>
    <w:rsid w:val="007172E9"/>
    <w:rsid w:val="00717B0C"/>
    <w:rsid w:val="00721556"/>
    <w:rsid w:val="007253C7"/>
    <w:rsid w:val="007267EB"/>
    <w:rsid w:val="00727F41"/>
    <w:rsid w:val="007311E0"/>
    <w:rsid w:val="007364CE"/>
    <w:rsid w:val="00740160"/>
    <w:rsid w:val="0074047E"/>
    <w:rsid w:val="00741074"/>
    <w:rsid w:val="00741EDA"/>
    <w:rsid w:val="00741F96"/>
    <w:rsid w:val="00742C6A"/>
    <w:rsid w:val="00755815"/>
    <w:rsid w:val="00763113"/>
    <w:rsid w:val="00765498"/>
    <w:rsid w:val="007671D4"/>
    <w:rsid w:val="00775E9E"/>
    <w:rsid w:val="0078399B"/>
    <w:rsid w:val="00793843"/>
    <w:rsid w:val="007A6C92"/>
    <w:rsid w:val="007A6F2C"/>
    <w:rsid w:val="007A742C"/>
    <w:rsid w:val="007B1F6A"/>
    <w:rsid w:val="007B7AB9"/>
    <w:rsid w:val="007C1A58"/>
    <w:rsid w:val="007C1DA8"/>
    <w:rsid w:val="007C39F7"/>
    <w:rsid w:val="007C4E56"/>
    <w:rsid w:val="007C63E4"/>
    <w:rsid w:val="007C6A7B"/>
    <w:rsid w:val="007D4723"/>
    <w:rsid w:val="007D49EB"/>
    <w:rsid w:val="007F2AFD"/>
    <w:rsid w:val="007F692D"/>
    <w:rsid w:val="00800793"/>
    <w:rsid w:val="00803DD9"/>
    <w:rsid w:val="008115DE"/>
    <w:rsid w:val="008141D8"/>
    <w:rsid w:val="00814488"/>
    <w:rsid w:val="00817E6D"/>
    <w:rsid w:val="00822E51"/>
    <w:rsid w:val="0082366A"/>
    <w:rsid w:val="008239A3"/>
    <w:rsid w:val="00823BAA"/>
    <w:rsid w:val="00830481"/>
    <w:rsid w:val="008318F4"/>
    <w:rsid w:val="008332BD"/>
    <w:rsid w:val="00834671"/>
    <w:rsid w:val="0084328C"/>
    <w:rsid w:val="00845973"/>
    <w:rsid w:val="008469E3"/>
    <w:rsid w:val="00847BC8"/>
    <w:rsid w:val="0085021F"/>
    <w:rsid w:val="00851857"/>
    <w:rsid w:val="008564CB"/>
    <w:rsid w:val="008714D5"/>
    <w:rsid w:val="00887923"/>
    <w:rsid w:val="00890E5B"/>
    <w:rsid w:val="0089249E"/>
    <w:rsid w:val="00892B7A"/>
    <w:rsid w:val="00893F6C"/>
    <w:rsid w:val="0089582A"/>
    <w:rsid w:val="00895FE1"/>
    <w:rsid w:val="008A205A"/>
    <w:rsid w:val="008A5FF1"/>
    <w:rsid w:val="008A6567"/>
    <w:rsid w:val="008A6E69"/>
    <w:rsid w:val="008B20BD"/>
    <w:rsid w:val="008B2A30"/>
    <w:rsid w:val="008D3123"/>
    <w:rsid w:val="008D3780"/>
    <w:rsid w:val="008D5482"/>
    <w:rsid w:val="008D575E"/>
    <w:rsid w:val="008E3F89"/>
    <w:rsid w:val="008E6FBA"/>
    <w:rsid w:val="008E7FE7"/>
    <w:rsid w:val="008F267D"/>
    <w:rsid w:val="008F2BE4"/>
    <w:rsid w:val="008F49E8"/>
    <w:rsid w:val="008F6EFE"/>
    <w:rsid w:val="008F7B8C"/>
    <w:rsid w:val="00900688"/>
    <w:rsid w:val="0090091B"/>
    <w:rsid w:val="009009DA"/>
    <w:rsid w:val="00901C9F"/>
    <w:rsid w:val="009046DD"/>
    <w:rsid w:val="00905CB3"/>
    <w:rsid w:val="00907519"/>
    <w:rsid w:val="00907691"/>
    <w:rsid w:val="00913A77"/>
    <w:rsid w:val="00915D56"/>
    <w:rsid w:val="00916063"/>
    <w:rsid w:val="0091691C"/>
    <w:rsid w:val="00920A67"/>
    <w:rsid w:val="0092149D"/>
    <w:rsid w:val="00921AA7"/>
    <w:rsid w:val="009235BB"/>
    <w:rsid w:val="00924A3A"/>
    <w:rsid w:val="00925260"/>
    <w:rsid w:val="00935B9D"/>
    <w:rsid w:val="00937937"/>
    <w:rsid w:val="0094306C"/>
    <w:rsid w:val="00945E0E"/>
    <w:rsid w:val="00950AE1"/>
    <w:rsid w:val="00953D57"/>
    <w:rsid w:val="009545F9"/>
    <w:rsid w:val="00960DCF"/>
    <w:rsid w:val="00964957"/>
    <w:rsid w:val="00966262"/>
    <w:rsid w:val="00974F9E"/>
    <w:rsid w:val="00975B8E"/>
    <w:rsid w:val="0097737D"/>
    <w:rsid w:val="00983874"/>
    <w:rsid w:val="0098469C"/>
    <w:rsid w:val="00991ABE"/>
    <w:rsid w:val="00991FD7"/>
    <w:rsid w:val="009A4933"/>
    <w:rsid w:val="009A57F2"/>
    <w:rsid w:val="009B1F81"/>
    <w:rsid w:val="009B3F9F"/>
    <w:rsid w:val="009B6792"/>
    <w:rsid w:val="009C070A"/>
    <w:rsid w:val="009C2417"/>
    <w:rsid w:val="009C2592"/>
    <w:rsid w:val="009C6DB7"/>
    <w:rsid w:val="009D2060"/>
    <w:rsid w:val="009D6250"/>
    <w:rsid w:val="009D7ED6"/>
    <w:rsid w:val="009E116C"/>
    <w:rsid w:val="009E3DA6"/>
    <w:rsid w:val="009E6D4C"/>
    <w:rsid w:val="009F7CB2"/>
    <w:rsid w:val="00A0340D"/>
    <w:rsid w:val="00A0603E"/>
    <w:rsid w:val="00A107D0"/>
    <w:rsid w:val="00A10A28"/>
    <w:rsid w:val="00A14C03"/>
    <w:rsid w:val="00A158B9"/>
    <w:rsid w:val="00A22A29"/>
    <w:rsid w:val="00A24770"/>
    <w:rsid w:val="00A25348"/>
    <w:rsid w:val="00A36D24"/>
    <w:rsid w:val="00A371D8"/>
    <w:rsid w:val="00A408B2"/>
    <w:rsid w:val="00A40ED7"/>
    <w:rsid w:val="00A45CFE"/>
    <w:rsid w:val="00A53CA3"/>
    <w:rsid w:val="00A56E9C"/>
    <w:rsid w:val="00A66303"/>
    <w:rsid w:val="00A67AA6"/>
    <w:rsid w:val="00A70937"/>
    <w:rsid w:val="00A71D38"/>
    <w:rsid w:val="00A733A9"/>
    <w:rsid w:val="00A806BD"/>
    <w:rsid w:val="00A820A4"/>
    <w:rsid w:val="00A82285"/>
    <w:rsid w:val="00A84E5F"/>
    <w:rsid w:val="00A93CF4"/>
    <w:rsid w:val="00A9418B"/>
    <w:rsid w:val="00AA3012"/>
    <w:rsid w:val="00AA6F70"/>
    <w:rsid w:val="00AA7B95"/>
    <w:rsid w:val="00AB5882"/>
    <w:rsid w:val="00AB7AD8"/>
    <w:rsid w:val="00AC0FD6"/>
    <w:rsid w:val="00AC7641"/>
    <w:rsid w:val="00AD1D9B"/>
    <w:rsid w:val="00AD3602"/>
    <w:rsid w:val="00AE1767"/>
    <w:rsid w:val="00AE1CDD"/>
    <w:rsid w:val="00AE1F2D"/>
    <w:rsid w:val="00AF0878"/>
    <w:rsid w:val="00AF2897"/>
    <w:rsid w:val="00AF2F1E"/>
    <w:rsid w:val="00AF77BB"/>
    <w:rsid w:val="00B01094"/>
    <w:rsid w:val="00B06DA1"/>
    <w:rsid w:val="00B141FC"/>
    <w:rsid w:val="00B171EB"/>
    <w:rsid w:val="00B30AEB"/>
    <w:rsid w:val="00B32751"/>
    <w:rsid w:val="00B42199"/>
    <w:rsid w:val="00B458FE"/>
    <w:rsid w:val="00B56AED"/>
    <w:rsid w:val="00B60511"/>
    <w:rsid w:val="00B62608"/>
    <w:rsid w:val="00B64785"/>
    <w:rsid w:val="00B64D49"/>
    <w:rsid w:val="00B70CED"/>
    <w:rsid w:val="00B76583"/>
    <w:rsid w:val="00B8234A"/>
    <w:rsid w:val="00B82C60"/>
    <w:rsid w:val="00B9272C"/>
    <w:rsid w:val="00B95469"/>
    <w:rsid w:val="00BA0000"/>
    <w:rsid w:val="00BA0448"/>
    <w:rsid w:val="00BA09D3"/>
    <w:rsid w:val="00BB0897"/>
    <w:rsid w:val="00BB2875"/>
    <w:rsid w:val="00BB31F5"/>
    <w:rsid w:val="00BB4D06"/>
    <w:rsid w:val="00BC43AC"/>
    <w:rsid w:val="00BC4EEC"/>
    <w:rsid w:val="00BD07EA"/>
    <w:rsid w:val="00BD31AF"/>
    <w:rsid w:val="00BE6F89"/>
    <w:rsid w:val="00BF1A0C"/>
    <w:rsid w:val="00BF57C4"/>
    <w:rsid w:val="00BF6519"/>
    <w:rsid w:val="00BF7B4D"/>
    <w:rsid w:val="00C004B4"/>
    <w:rsid w:val="00C01F7F"/>
    <w:rsid w:val="00C10792"/>
    <w:rsid w:val="00C11A71"/>
    <w:rsid w:val="00C12081"/>
    <w:rsid w:val="00C129AB"/>
    <w:rsid w:val="00C23022"/>
    <w:rsid w:val="00C238AE"/>
    <w:rsid w:val="00C24391"/>
    <w:rsid w:val="00C27DB1"/>
    <w:rsid w:val="00C31F12"/>
    <w:rsid w:val="00C33210"/>
    <w:rsid w:val="00C42668"/>
    <w:rsid w:val="00C4732A"/>
    <w:rsid w:val="00C519EC"/>
    <w:rsid w:val="00C529DE"/>
    <w:rsid w:val="00C577FA"/>
    <w:rsid w:val="00C578B3"/>
    <w:rsid w:val="00C614D4"/>
    <w:rsid w:val="00C73840"/>
    <w:rsid w:val="00C76B1F"/>
    <w:rsid w:val="00C80F7F"/>
    <w:rsid w:val="00C8251F"/>
    <w:rsid w:val="00C82D66"/>
    <w:rsid w:val="00C832CB"/>
    <w:rsid w:val="00C866A3"/>
    <w:rsid w:val="00C90D91"/>
    <w:rsid w:val="00C91813"/>
    <w:rsid w:val="00C92259"/>
    <w:rsid w:val="00C93F73"/>
    <w:rsid w:val="00C961E5"/>
    <w:rsid w:val="00CA3895"/>
    <w:rsid w:val="00CB2085"/>
    <w:rsid w:val="00CB4939"/>
    <w:rsid w:val="00CB4CC9"/>
    <w:rsid w:val="00CB6D20"/>
    <w:rsid w:val="00CC1B9A"/>
    <w:rsid w:val="00CC61E7"/>
    <w:rsid w:val="00CC6A57"/>
    <w:rsid w:val="00CD38A8"/>
    <w:rsid w:val="00CD5CCA"/>
    <w:rsid w:val="00CE1014"/>
    <w:rsid w:val="00CE1056"/>
    <w:rsid w:val="00CE1332"/>
    <w:rsid w:val="00CE1BB8"/>
    <w:rsid w:val="00CE2746"/>
    <w:rsid w:val="00CE491F"/>
    <w:rsid w:val="00CE4CE9"/>
    <w:rsid w:val="00CE6E3E"/>
    <w:rsid w:val="00CF16A6"/>
    <w:rsid w:val="00CF5DFA"/>
    <w:rsid w:val="00CF5F41"/>
    <w:rsid w:val="00CF7A45"/>
    <w:rsid w:val="00D00B1A"/>
    <w:rsid w:val="00D025F5"/>
    <w:rsid w:val="00D03D5E"/>
    <w:rsid w:val="00D14021"/>
    <w:rsid w:val="00D1610D"/>
    <w:rsid w:val="00D2427A"/>
    <w:rsid w:val="00D2699D"/>
    <w:rsid w:val="00D33A56"/>
    <w:rsid w:val="00D350F5"/>
    <w:rsid w:val="00D3691D"/>
    <w:rsid w:val="00D46137"/>
    <w:rsid w:val="00D512E8"/>
    <w:rsid w:val="00D5205E"/>
    <w:rsid w:val="00D54DCD"/>
    <w:rsid w:val="00D556D5"/>
    <w:rsid w:val="00D62C18"/>
    <w:rsid w:val="00D63FD0"/>
    <w:rsid w:val="00D65946"/>
    <w:rsid w:val="00D66422"/>
    <w:rsid w:val="00D73836"/>
    <w:rsid w:val="00D73BAB"/>
    <w:rsid w:val="00D748C6"/>
    <w:rsid w:val="00D91515"/>
    <w:rsid w:val="00D92869"/>
    <w:rsid w:val="00D934BB"/>
    <w:rsid w:val="00D9414A"/>
    <w:rsid w:val="00D94F9A"/>
    <w:rsid w:val="00DA0107"/>
    <w:rsid w:val="00DA39FC"/>
    <w:rsid w:val="00DB0C06"/>
    <w:rsid w:val="00DB1A16"/>
    <w:rsid w:val="00DB5184"/>
    <w:rsid w:val="00DB6698"/>
    <w:rsid w:val="00DC32EF"/>
    <w:rsid w:val="00DD0641"/>
    <w:rsid w:val="00DD2145"/>
    <w:rsid w:val="00DD5980"/>
    <w:rsid w:val="00DD5B76"/>
    <w:rsid w:val="00DD78B3"/>
    <w:rsid w:val="00DD7E18"/>
    <w:rsid w:val="00DE2770"/>
    <w:rsid w:val="00DE4359"/>
    <w:rsid w:val="00DE658C"/>
    <w:rsid w:val="00DF2740"/>
    <w:rsid w:val="00DF33DF"/>
    <w:rsid w:val="00DF52F0"/>
    <w:rsid w:val="00DF61D3"/>
    <w:rsid w:val="00E01642"/>
    <w:rsid w:val="00E02C9F"/>
    <w:rsid w:val="00E064C5"/>
    <w:rsid w:val="00E22145"/>
    <w:rsid w:val="00E2327A"/>
    <w:rsid w:val="00E232F2"/>
    <w:rsid w:val="00E26923"/>
    <w:rsid w:val="00E377BC"/>
    <w:rsid w:val="00E40551"/>
    <w:rsid w:val="00E414B4"/>
    <w:rsid w:val="00E430FC"/>
    <w:rsid w:val="00E43BF7"/>
    <w:rsid w:val="00E5076F"/>
    <w:rsid w:val="00E50D48"/>
    <w:rsid w:val="00E54397"/>
    <w:rsid w:val="00E61321"/>
    <w:rsid w:val="00E655B9"/>
    <w:rsid w:val="00E67988"/>
    <w:rsid w:val="00E67EA1"/>
    <w:rsid w:val="00E74966"/>
    <w:rsid w:val="00E74A76"/>
    <w:rsid w:val="00E774F4"/>
    <w:rsid w:val="00E81CB5"/>
    <w:rsid w:val="00E84298"/>
    <w:rsid w:val="00E84327"/>
    <w:rsid w:val="00E86880"/>
    <w:rsid w:val="00E86E26"/>
    <w:rsid w:val="00E96D36"/>
    <w:rsid w:val="00EA2553"/>
    <w:rsid w:val="00EA6B2F"/>
    <w:rsid w:val="00EA7D31"/>
    <w:rsid w:val="00EB033D"/>
    <w:rsid w:val="00EB0A94"/>
    <w:rsid w:val="00EB4801"/>
    <w:rsid w:val="00EC0DC5"/>
    <w:rsid w:val="00EC2322"/>
    <w:rsid w:val="00EC5463"/>
    <w:rsid w:val="00EC70C2"/>
    <w:rsid w:val="00ED151D"/>
    <w:rsid w:val="00ED5920"/>
    <w:rsid w:val="00EE2A6A"/>
    <w:rsid w:val="00EF0822"/>
    <w:rsid w:val="00EF3D27"/>
    <w:rsid w:val="00EF539F"/>
    <w:rsid w:val="00EF585F"/>
    <w:rsid w:val="00EF5F4D"/>
    <w:rsid w:val="00F0173D"/>
    <w:rsid w:val="00F017BF"/>
    <w:rsid w:val="00F153CA"/>
    <w:rsid w:val="00F157AB"/>
    <w:rsid w:val="00F167E4"/>
    <w:rsid w:val="00F16BAE"/>
    <w:rsid w:val="00F22834"/>
    <w:rsid w:val="00F3624B"/>
    <w:rsid w:val="00F37DFB"/>
    <w:rsid w:val="00F4174B"/>
    <w:rsid w:val="00F435DA"/>
    <w:rsid w:val="00F46EEB"/>
    <w:rsid w:val="00F4798F"/>
    <w:rsid w:val="00F54651"/>
    <w:rsid w:val="00F56F5D"/>
    <w:rsid w:val="00F63425"/>
    <w:rsid w:val="00F63828"/>
    <w:rsid w:val="00F64ACC"/>
    <w:rsid w:val="00F74295"/>
    <w:rsid w:val="00F74A28"/>
    <w:rsid w:val="00F766ED"/>
    <w:rsid w:val="00F7715E"/>
    <w:rsid w:val="00F87599"/>
    <w:rsid w:val="00F91207"/>
    <w:rsid w:val="00F91A3D"/>
    <w:rsid w:val="00F94C87"/>
    <w:rsid w:val="00F97AF6"/>
    <w:rsid w:val="00F97DBB"/>
    <w:rsid w:val="00FA3700"/>
    <w:rsid w:val="00FA4EAD"/>
    <w:rsid w:val="00FA4EC5"/>
    <w:rsid w:val="00FB1D03"/>
    <w:rsid w:val="00FB622F"/>
    <w:rsid w:val="00FB73C5"/>
    <w:rsid w:val="00FC0051"/>
    <w:rsid w:val="00FC0EB2"/>
    <w:rsid w:val="00FC436B"/>
    <w:rsid w:val="00FD22B6"/>
    <w:rsid w:val="00FD37F9"/>
    <w:rsid w:val="00FD6295"/>
    <w:rsid w:val="00FD68B1"/>
    <w:rsid w:val="00FD7E62"/>
    <w:rsid w:val="00FE2A55"/>
    <w:rsid w:val="00FE2D1B"/>
    <w:rsid w:val="00FE3B84"/>
    <w:rsid w:val="00FE5AF7"/>
    <w:rsid w:val="00FE685D"/>
    <w:rsid w:val="00FF1F1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B4D58"/>
  <w15:docId w15:val="{18F54808-0D17-4786-A76A-DDBF836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before="120" w:after="120"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C4EEC"/>
    <w:pPr>
      <w:jc w:val="both"/>
    </w:pPr>
  </w:style>
  <w:style w:type="paragraph" w:styleId="Heading1">
    <w:name w:val="heading 1"/>
    <w:basedOn w:val="a"/>
    <w:next w:val="a"/>
    <w:link w:val="Heading1Char"/>
    <w:autoRedefine/>
    <w:uiPriority w:val="9"/>
    <w:qFormat/>
    <w:rsid w:val="00361DEC"/>
    <w:pPr>
      <w:keepNext/>
      <w:keepLines/>
      <w:numPr>
        <w:numId w:val="2"/>
      </w:numPr>
      <w:tabs>
        <w:tab w:val="left" w:pos="567"/>
      </w:tabs>
      <w:spacing w:before="480" w:after="200"/>
      <w:jc w:val="left"/>
      <w:outlineLvl w:val="0"/>
    </w:pPr>
    <w:rPr>
      <w:rFonts w:cstheme="minorBidi"/>
      <w:b/>
      <w:bCs/>
      <w:color w:val="000000"/>
      <w:sz w:val="28"/>
      <w:szCs w:val="28"/>
    </w:rPr>
  </w:style>
  <w:style w:type="paragraph" w:styleId="Heading2">
    <w:name w:val="heading 2"/>
    <w:basedOn w:val="a"/>
    <w:next w:val="a"/>
    <w:link w:val="Heading2Char"/>
    <w:autoRedefine/>
    <w:uiPriority w:val="9"/>
    <w:unhideWhenUsed/>
    <w:qFormat/>
    <w:rsid w:val="00DB0C06"/>
    <w:pPr>
      <w:keepNext/>
      <w:keepLines/>
      <w:numPr>
        <w:ilvl w:val="1"/>
        <w:numId w:val="2"/>
      </w:numPr>
      <w:tabs>
        <w:tab w:val="left" w:pos="993"/>
      </w:tabs>
      <w:spacing w:before="360" w:after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a"/>
    <w:next w:val="a"/>
    <w:link w:val="Heading3Char"/>
    <w:autoRedefine/>
    <w:uiPriority w:val="9"/>
    <w:unhideWhenUsed/>
    <w:qFormat/>
    <w:rsid w:val="00174CE3"/>
    <w:pPr>
      <w:keepNext/>
      <w:keepLines/>
      <w:numPr>
        <w:ilvl w:val="2"/>
        <w:numId w:val="2"/>
      </w:numPr>
      <w:tabs>
        <w:tab w:val="left" w:pos="1134"/>
      </w:tabs>
      <w:spacing w:before="280" w:after="160"/>
      <w:jc w:val="left"/>
      <w:outlineLvl w:val="2"/>
    </w:pPr>
    <w:rPr>
      <w:b/>
      <w:bCs/>
    </w:rPr>
  </w:style>
  <w:style w:type="paragraph" w:styleId="Heading4">
    <w:name w:val="heading 4"/>
    <w:basedOn w:val="a"/>
    <w:next w:val="a"/>
    <w:link w:val="Heading4Char"/>
    <w:autoRedefine/>
    <w:uiPriority w:val="9"/>
    <w:unhideWhenUsed/>
    <w:qFormat/>
    <w:rsid w:val="00EF585F"/>
    <w:pPr>
      <w:keepNext/>
      <w:keepLines/>
      <w:numPr>
        <w:ilvl w:val="3"/>
        <w:numId w:val="2"/>
      </w:numPr>
      <w:tabs>
        <w:tab w:val="left" w:pos="1418"/>
      </w:tabs>
      <w:spacing w:before="200"/>
      <w:jc w:val="left"/>
      <w:outlineLvl w:val="3"/>
    </w:pPr>
    <w:rPr>
      <w:rFonts w:eastAsiaTheme="minorEastAsia" w:cstheme="minorBidi"/>
      <w:b/>
      <w:bCs/>
      <w:i/>
      <w:iCs/>
    </w:rPr>
  </w:style>
  <w:style w:type="paragraph" w:styleId="Heading5">
    <w:name w:val="heading 5"/>
    <w:basedOn w:val="a"/>
    <w:next w:val="a"/>
    <w:link w:val="Heading5Char"/>
    <w:uiPriority w:val="9"/>
    <w:unhideWhenUsed/>
    <w:rsid w:val="00EF585F"/>
    <w:pPr>
      <w:keepNext/>
      <w:keepLines/>
      <w:numPr>
        <w:ilvl w:val="4"/>
        <w:numId w:val="2"/>
      </w:numPr>
      <w:tabs>
        <w:tab w:val="left" w:pos="1560"/>
      </w:tabs>
      <w:spacing w:before="200"/>
      <w:jc w:val="left"/>
      <w:outlineLvl w:val="4"/>
    </w:pPr>
    <w:rPr>
      <w:rFonts w:eastAsiaTheme="minorEastAsia" w:cstheme="minorBidi"/>
      <w:b/>
      <w:i/>
      <w:lang w:eastAsia="en-US"/>
    </w:rPr>
  </w:style>
  <w:style w:type="paragraph" w:styleId="Heading6">
    <w:name w:val="heading 6"/>
    <w:basedOn w:val="a"/>
    <w:next w:val="a"/>
    <w:link w:val="Heading6Char"/>
    <w:uiPriority w:val="9"/>
    <w:unhideWhenUsed/>
    <w:rsid w:val="00EF585F"/>
    <w:pPr>
      <w:keepNext/>
      <w:numPr>
        <w:ilvl w:val="5"/>
        <w:numId w:val="2"/>
      </w:numPr>
      <w:tabs>
        <w:tab w:val="left" w:pos="1843"/>
      </w:tabs>
      <w:spacing w:before="200"/>
      <w:jc w:val="left"/>
      <w:outlineLvl w:val="5"/>
    </w:pPr>
    <w:rPr>
      <w:rFonts w:eastAsiaTheme="minorEastAsia" w:cstheme="minorBidi"/>
      <w:b/>
      <w:bCs/>
      <w:i/>
    </w:rPr>
  </w:style>
  <w:style w:type="paragraph" w:styleId="Heading7">
    <w:name w:val="heading 7"/>
    <w:basedOn w:val="a"/>
    <w:next w:val="a"/>
    <w:link w:val="Heading7Char"/>
    <w:uiPriority w:val="9"/>
    <w:unhideWhenUsed/>
    <w:rsid w:val="00EF585F"/>
    <w:pPr>
      <w:keepNext/>
      <w:keepLines/>
      <w:numPr>
        <w:ilvl w:val="6"/>
        <w:numId w:val="2"/>
      </w:numPr>
      <w:spacing w:before="200"/>
      <w:jc w:val="left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585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85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1DEC"/>
    <w:rPr>
      <w:rFonts w:eastAsia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0C0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174CE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F585F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F585F"/>
    <w:rPr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585F"/>
    <w:rPr>
      <w:b/>
      <w:bCs/>
      <w:i/>
    </w:rPr>
  </w:style>
  <w:style w:type="paragraph" w:styleId="Caption">
    <w:name w:val="caption"/>
    <w:basedOn w:val="a"/>
    <w:next w:val="a"/>
    <w:autoRedefine/>
    <w:uiPriority w:val="9"/>
    <w:unhideWhenUsed/>
    <w:qFormat/>
    <w:rsid w:val="003A2E14"/>
    <w:pPr>
      <w:keepLines/>
      <w:spacing w:line="240" w:lineRule="auto"/>
      <w:jc w:val="left"/>
    </w:pPr>
    <w:rPr>
      <w:b/>
      <w:bCs/>
      <w:szCs w:val="18"/>
    </w:rPr>
  </w:style>
  <w:style w:type="paragraph" w:styleId="NoSpacing">
    <w:name w:val="No Spacing"/>
    <w:next w:val="a"/>
    <w:uiPriority w:val="99"/>
    <w:qFormat/>
    <w:rsid w:val="003A2E14"/>
    <w:pPr>
      <w:spacing w:line="240" w:lineRule="auto"/>
    </w:pPr>
  </w:style>
  <w:style w:type="paragraph" w:styleId="Header">
    <w:name w:val="header"/>
    <w:link w:val="HeaderChar"/>
    <w:uiPriority w:val="99"/>
    <w:unhideWhenUsed/>
    <w:rsid w:val="00EF585F"/>
    <w:pPr>
      <w:tabs>
        <w:tab w:val="center" w:pos="4677"/>
        <w:tab w:val="right" w:pos="9355"/>
      </w:tabs>
      <w:spacing w:after="240" w:line="240" w:lineRule="auto"/>
      <w:contextualSpacing/>
    </w:pPr>
    <w:rPr>
      <w:rFonts w:eastAsia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F585F"/>
    <w:rPr>
      <w:rFonts w:eastAsia="Times New Roman" w:cs="Times New Roman"/>
      <w:sz w:val="20"/>
    </w:rPr>
  </w:style>
  <w:style w:type="paragraph" w:styleId="Footer">
    <w:name w:val="footer"/>
    <w:link w:val="FooterChar"/>
    <w:uiPriority w:val="99"/>
    <w:unhideWhenUsed/>
    <w:rsid w:val="00EF585F"/>
    <w:pPr>
      <w:tabs>
        <w:tab w:val="center" w:pos="4677"/>
        <w:tab w:val="right" w:pos="9355"/>
      </w:tabs>
      <w:spacing w:line="240" w:lineRule="auto"/>
      <w:contextualSpacing/>
    </w:pPr>
    <w:rPr>
      <w:sz w:val="20"/>
    </w:rPr>
  </w:style>
  <w:style w:type="character" w:customStyle="1" w:styleId="FooterChar">
    <w:name w:val="Footer Char"/>
    <w:link w:val="Footer"/>
    <w:uiPriority w:val="99"/>
    <w:rsid w:val="00EF585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115DE"/>
  </w:style>
  <w:style w:type="character" w:customStyle="1" w:styleId="BodyTextChar">
    <w:name w:val="Body Text Char"/>
    <w:basedOn w:val="DefaultParagraphFont"/>
    <w:link w:val="BodyText"/>
    <w:semiHidden/>
    <w:rsid w:val="008115DE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locked/>
    <w:rsid w:val="00EF585F"/>
    <w:pPr>
      <w:spacing w:before="0" w:after="0" w:line="240" w:lineRule="auto"/>
    </w:pPr>
    <w:rPr>
      <w:rFonts w:eastAsia="Calibri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vAlign w:val="center"/>
    </w:tcPr>
  </w:style>
  <w:style w:type="paragraph" w:styleId="ListParagraph">
    <w:name w:val="List Paragraph"/>
    <w:basedOn w:val="a"/>
    <w:uiPriority w:val="2"/>
    <w:semiHidden/>
    <w:rsid w:val="00CE1332"/>
    <w:pPr>
      <w:spacing w:before="200" w:after="200"/>
      <w:contextualSpacing/>
    </w:pPr>
  </w:style>
  <w:style w:type="paragraph" w:styleId="TOCHeading">
    <w:name w:val="TOC Heading"/>
    <w:basedOn w:val="Heading1"/>
    <w:next w:val="a"/>
    <w:uiPriority w:val="39"/>
    <w:unhideWhenUsed/>
    <w:qFormat/>
    <w:rsid w:val="00EF585F"/>
    <w:pPr>
      <w:numPr>
        <w:numId w:val="0"/>
      </w:numPr>
      <w:outlineLvl w:val="9"/>
    </w:pPr>
    <w:rPr>
      <w:rFonts w:cs="Times New Roman"/>
      <w:color w:val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585F"/>
    <w:pPr>
      <w:tabs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585F"/>
    <w:pPr>
      <w:spacing w:after="10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EF585F"/>
    <w:pPr>
      <w:tabs>
        <w:tab w:val="left" w:pos="1418"/>
        <w:tab w:val="right" w:leader="dot" w:pos="9345"/>
      </w:tabs>
      <w:spacing w:after="100"/>
      <w:ind w:left="482"/>
    </w:pPr>
  </w:style>
  <w:style w:type="character" w:styleId="Hyperlink">
    <w:name w:val="Hyperlink"/>
    <w:basedOn w:val="DefaultParagraphFont"/>
    <w:uiPriority w:val="99"/>
    <w:unhideWhenUsed/>
    <w:rsid w:val="00EF585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115DE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a">
    <w:name w:val="СФ_Текст"/>
    <w:link w:val="a0"/>
    <w:qFormat/>
    <w:rsid w:val="00E5076F"/>
    <w:pPr>
      <w:jc w:val="both"/>
    </w:pPr>
    <w:rPr>
      <w:rFonts w:eastAsia="Times New Roman" w:cs="Times New Roman"/>
    </w:rPr>
  </w:style>
  <w:style w:type="character" w:customStyle="1" w:styleId="a0">
    <w:name w:val="СФ_Текст Знак"/>
    <w:basedOn w:val="DefaultParagraphFont"/>
    <w:link w:val="a"/>
    <w:rsid w:val="00E5076F"/>
    <w:rPr>
      <w:rFonts w:eastAsia="Times New Roman" w:cs="Times New Roman"/>
    </w:rPr>
  </w:style>
  <w:style w:type="paragraph" w:styleId="Subtitle">
    <w:name w:val="Subtitle"/>
    <w:basedOn w:val="a"/>
    <w:next w:val="a"/>
    <w:link w:val="SubtitleChar"/>
    <w:uiPriority w:val="9"/>
    <w:qFormat/>
    <w:rsid w:val="003E73B0"/>
    <w:pPr>
      <w:keepNext/>
      <w:numPr>
        <w:ilvl w:val="1"/>
      </w:numPr>
      <w:spacing w:before="200" w:after="20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9"/>
    <w:rsid w:val="003E73B0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3"/>
    <w:qFormat/>
    <w:rsid w:val="00EF585F"/>
    <w:rPr>
      <w:i/>
      <w:iCs/>
    </w:rPr>
  </w:style>
  <w:style w:type="character" w:styleId="EndnoteReference">
    <w:name w:val="endnote reference"/>
    <w:basedOn w:val="DefaultParagraphFont"/>
    <w:uiPriority w:val="99"/>
    <w:rsid w:val="009649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F58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85F"/>
    <w:rPr>
      <w:szCs w:val="20"/>
    </w:rPr>
  </w:style>
  <w:style w:type="paragraph" w:styleId="ListBullet">
    <w:name w:val="List Bullet"/>
    <w:uiPriority w:val="2"/>
    <w:qFormat/>
    <w:rsid w:val="003610DD"/>
    <w:pPr>
      <w:numPr>
        <w:numId w:val="1"/>
      </w:numPr>
      <w:spacing w:before="200" w:after="200"/>
      <w:contextualSpacing/>
    </w:pPr>
  </w:style>
  <w:style w:type="paragraph" w:styleId="ListNumber">
    <w:name w:val="List Number"/>
    <w:uiPriority w:val="2"/>
    <w:qFormat/>
    <w:rsid w:val="00EF585F"/>
    <w:pPr>
      <w:numPr>
        <w:numId w:val="3"/>
      </w:numPr>
      <w:contextualSpacing/>
      <w:jc w:val="left"/>
    </w:pPr>
  </w:style>
  <w:style w:type="character" w:customStyle="1" w:styleId="Heading7Char">
    <w:name w:val="Heading 7 Char"/>
    <w:basedOn w:val="DefaultParagraphFont"/>
    <w:link w:val="Heading7"/>
    <w:uiPriority w:val="9"/>
    <w:rsid w:val="00EF585F"/>
    <w:rPr>
      <w:rFonts w:eastAsiaTheme="majorEastAsia" w:cstheme="majorBidi"/>
      <w:i/>
      <w:iCs/>
    </w:rPr>
  </w:style>
  <w:style w:type="paragraph" w:styleId="FootnoteText">
    <w:name w:val="footnote text"/>
    <w:link w:val="FootnoteTextChar"/>
    <w:uiPriority w:val="99"/>
    <w:unhideWhenUsed/>
    <w:rsid w:val="00EF58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85F"/>
    <w:rPr>
      <w:rFonts w:eastAsiaTheme="minorHAnsi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8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1">
    <w:name w:val="СФ_Конфиденциальность"/>
    <w:basedOn w:val="a"/>
    <w:link w:val="a2"/>
    <w:uiPriority w:val="99"/>
    <w:qFormat/>
    <w:rsid w:val="00EF585F"/>
    <w:pPr>
      <w:framePr w:wrap="notBeside" w:hAnchor="text" w:yAlign="bottom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600"/>
      <w:contextualSpacing/>
    </w:pPr>
  </w:style>
  <w:style w:type="character" w:customStyle="1" w:styleId="a2">
    <w:name w:val="СФ_Конфиденциальность Знак"/>
    <w:basedOn w:val="a0"/>
    <w:link w:val="a1"/>
    <w:uiPriority w:val="99"/>
    <w:rsid w:val="00EF585F"/>
    <w:rPr>
      <w:rFonts w:eastAsia="Times New Roman" w:cs="Times New Roman"/>
    </w:rPr>
  </w:style>
  <w:style w:type="paragraph" w:styleId="Title">
    <w:name w:val="Title"/>
    <w:basedOn w:val="a"/>
    <w:next w:val="a"/>
    <w:link w:val="TitleChar"/>
    <w:uiPriority w:val="10"/>
    <w:qFormat/>
    <w:rsid w:val="004D11A1"/>
    <w:pPr>
      <w:spacing w:before="480" w:after="480" w:line="36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1A1"/>
    <w:rPr>
      <w:rFonts w:eastAsiaTheme="majorEastAsia" w:cstheme="majorBidi"/>
      <w:b/>
      <w:spacing w:val="5"/>
      <w:kern w:val="28"/>
      <w:sz w:val="36"/>
      <w:szCs w:val="52"/>
    </w:rPr>
  </w:style>
  <w:style w:type="character" w:styleId="FootnoteReference">
    <w:name w:val="footnote reference"/>
    <w:basedOn w:val="DefaultParagraphFont"/>
    <w:uiPriority w:val="99"/>
    <w:qFormat/>
    <w:rsid w:val="003E73B0"/>
    <w:rPr>
      <w:vertAlign w:val="superscript"/>
    </w:rPr>
  </w:style>
  <w:style w:type="table" w:styleId="LightShading">
    <w:name w:val="Light Shading"/>
    <w:basedOn w:val="TableNormal"/>
    <w:uiPriority w:val="60"/>
    <w:locked/>
    <w:rsid w:val="005D43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3">
    <w:name w:val="СФ_Таблица"/>
    <w:basedOn w:val="a"/>
    <w:uiPriority w:val="11"/>
    <w:qFormat/>
    <w:rsid w:val="00EF585F"/>
    <w:pPr>
      <w:spacing w:before="0" w:after="0" w:line="240" w:lineRule="auto"/>
    </w:pPr>
    <w:rPr>
      <w:sz w:val="20"/>
    </w:rPr>
  </w:style>
  <w:style w:type="character" w:styleId="IntenseEmphasis">
    <w:name w:val="Intense Emphasis"/>
    <w:basedOn w:val="DefaultParagraphFont"/>
    <w:uiPriority w:val="10"/>
    <w:qFormat/>
    <w:rsid w:val="00822E51"/>
    <w:rPr>
      <w:b/>
      <w:bCs/>
      <w:i/>
      <w:iCs/>
      <w:color w:val="auto"/>
    </w:rPr>
  </w:style>
  <w:style w:type="paragraph" w:styleId="TableofFigures">
    <w:name w:val="table of figures"/>
    <w:basedOn w:val="a"/>
    <w:next w:val="a"/>
    <w:uiPriority w:val="99"/>
    <w:unhideWhenUsed/>
    <w:rsid w:val="00EF585F"/>
  </w:style>
  <w:style w:type="paragraph" w:customStyle="1" w:styleId="a4">
    <w:name w:val="СФ_Примечание"/>
    <w:basedOn w:val="a"/>
    <w:uiPriority w:val="11"/>
    <w:qFormat/>
    <w:rsid w:val="00EF585F"/>
    <w:pPr>
      <w:spacing w:line="240" w:lineRule="auto"/>
      <w:jc w:val="left"/>
    </w:pPr>
    <w:rPr>
      <w:sz w:val="20"/>
    </w:rPr>
  </w:style>
  <w:style w:type="paragraph" w:customStyle="1" w:styleId="a5">
    <w:name w:val="СФ_Рисунок"/>
    <w:basedOn w:val="a"/>
    <w:next w:val="a"/>
    <w:uiPriority w:val="9"/>
    <w:qFormat/>
    <w:rsid w:val="00EF585F"/>
    <w:pPr>
      <w:keepNext/>
      <w:spacing w:before="24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4D0E"/>
    <w:rPr>
      <w:color w:val="808080"/>
    </w:rPr>
  </w:style>
  <w:style w:type="character" w:styleId="Strong">
    <w:name w:val="Strong"/>
    <w:basedOn w:val="DefaultParagraphFont"/>
    <w:uiPriority w:val="9"/>
    <w:qFormat/>
    <w:rsid w:val="00A9418B"/>
    <w:rPr>
      <w:b/>
      <w:bCs/>
    </w:rPr>
  </w:style>
  <w:style w:type="character" w:customStyle="1" w:styleId="a6">
    <w:name w:val="СФ_Инструкции"/>
    <w:basedOn w:val="DefaultParagraphFont"/>
    <w:uiPriority w:val="1"/>
    <w:rsid w:val="00EF585F"/>
    <w:rPr>
      <w:bdr w:val="none" w:sz="0" w:space="0" w:color="auto"/>
      <w:shd w:val="clear" w:color="auto" w:fill="D6E3BC" w:themeFill="accent3" w:themeFillTint="66"/>
    </w:rPr>
  </w:style>
  <w:style w:type="paragraph" w:styleId="TOC4">
    <w:name w:val="toc 4"/>
    <w:basedOn w:val="Normal"/>
    <w:next w:val="Normal"/>
    <w:autoRedefine/>
    <w:uiPriority w:val="39"/>
    <w:unhideWhenUsed/>
    <w:rsid w:val="002734F7"/>
    <w:pPr>
      <w:spacing w:after="100" w:line="276" w:lineRule="auto"/>
      <w:ind w:left="660"/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734F7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F585F"/>
    <w:pPr>
      <w:spacing w:after="100" w:line="276" w:lineRule="auto"/>
      <w:ind w:left="110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F585F"/>
    <w:pPr>
      <w:spacing w:after="100" w:line="276" w:lineRule="auto"/>
      <w:ind w:left="132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F585F"/>
    <w:pPr>
      <w:spacing w:after="100" w:line="276" w:lineRule="auto"/>
      <w:ind w:left="154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F585F"/>
    <w:pPr>
      <w:spacing w:after="100" w:line="276" w:lineRule="auto"/>
      <w:ind w:left="1760"/>
      <w:jc w:val="left"/>
    </w:pPr>
    <w:rPr>
      <w:rFonts w:asciiTheme="minorHAnsi" w:hAnsiTheme="minorHAnsi"/>
      <w:sz w:val="22"/>
      <w:szCs w:val="22"/>
    </w:rPr>
  </w:style>
  <w:style w:type="table" w:customStyle="1" w:styleId="a7">
    <w:name w:val="СФ_синопсис_таблица"/>
    <w:basedOn w:val="TableNormal"/>
    <w:uiPriority w:val="99"/>
    <w:rsid w:val="00EF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5F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076F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076F"/>
    <w:rPr>
      <w:rFonts w:cs="Times New Roman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15D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5D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C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0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8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cuments\Bitrix24\Templetes\TPL-MW-009-m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>
  <b:Source>
    <b:Tag>Sta</b:Tag>
    <b:SourceType>Misc</b:SourceType>
    <b:Guid>{E37D3AF2-966E-4250-AEF1-CDC684924E0C}</b:Guid>
    <b:Title>StataCorp. 2013. Stata Statistical Software: Release 13. College Station, TX: StataCorp LP.</b:Title>
    <b:LCID>en-US</b:LCID>
    <b:Author>
      <b:Author>
        <b:Corporate>StataCorp</b:Corporate>
      </b:Author>
    </b:Author>
    <b:Comments>StataCorp. 2013. Stata Statistical Software: Release 13. College Station, TX: StataCorp LP.</b:Comments>
    <b:RefOrder>1</b:RefOrder>
  </b:Source>
  <b:Source>
    <b:Tag>SAJ10</b:Tag>
    <b:SourceType>Book</b:SourceType>
    <b:Guid>{540DB9DC-D429-4236-BCAA-8C77378C46D0}</b:Guid>
    <b:Author>
      <b:Author>
        <b:NameList>
          <b:Person>
            <b:Last>Julious</b:Last>
            <b:Middle>A</b:Middle>
            <b:First>S</b:First>
          </b:Person>
        </b:NameList>
      </b:Author>
    </b:Author>
    <b:Title>Sample Sizes for Clinical Trials</b:Title>
    <b:Year>2010</b:Year>
    <b:Publisher>CRC Press/Taylor &amp; Francis</b:Publisher>
    <b:Pages>330</b:Pages>
    <b:LCID>en-US</b:LCID>
    <b:RefOrder>2</b:RefOrder>
  </b:Source>
</b:Sources>
</file>

<file path=customXml/itemProps1.xml><?xml version="1.0" encoding="utf-8"?>
<ds:datastoreItem xmlns:ds="http://schemas.openxmlformats.org/officeDocument/2006/customXml" ds:itemID="{66325DE7-337D-4E30-9E1B-5F60AA4A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TPL-MW-009-m2.dotx</Template>
  <TotalTime>618</TotalTime>
  <Pages>8</Pages>
  <Words>9904</Words>
  <Characters>56457</Characters>
  <Application>Microsoft Office Word</Application>
  <DocSecurity>0</DocSecurity>
  <Lines>470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 Irina</dc:creator>
  <cp:keywords/>
  <dc:description/>
  <cp:lastModifiedBy>Kochneva, Elizaveta [JANRU]</cp:lastModifiedBy>
  <cp:revision>70</cp:revision>
  <dcterms:created xsi:type="dcterms:W3CDTF">2021-03-04T16:30:00Z</dcterms:created>
  <dcterms:modified xsi:type="dcterms:W3CDTF">2021-07-09T10:30:00Z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id="CaV2i8QP"/&gt;&lt;style id="http://www.zotero.org/styles/vancouver" locale="ru-RU" hasBibliography="1" bibliographyStyleHasBeenSet="1"/&gt;&lt;prefs&gt;&lt;pref name="fieldType" value="Field"/&gt;&lt;/prefs&gt;&lt;/data&gt;</vt:lpwstr>
  </property>
</Properties>
</file>